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 w:cs="Times New Roman"/>
          <w:b w:val="0"/>
          <w:sz w:val="30"/>
        </w:rPr>
        <w:t>28亿收购撬动万亿市值：中际装备并购苏州旭创的产业转型与交易结构启示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跨界并购最大的风险不在买入，而在买入后能否让被收购方持续增长。中际装备以28亿元收购苏州旭创，后者当时尚未盈利，但凭借技术卡位和业绩承诺设计，最终实现从传统制造到AI算力核心供应商的跨越。对上市公司董事长而言，这笔交易揭示了并购前应验证的四个核心假设：技术壁垒的可持续性、产业周期的位置、管理层留存的承诺、以及资本结构的弹性。以下分析从标的筛选、交易结构、投后整合到价值释放，逐一拆解可复用的决策框架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一、买方真正买入的是系统工程能力，而非重资产制造产能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中际装备原主营业务为电机定子绕组装备制造，属于传统机械行业，2016年营收约1.2亿元，净利润不足千万元，市值长期维持在20-30亿元区间。而苏州旭创主营高速光模块，2015年营收约9.5亿元，但净利润仅为-0.3亿元，处于亏损状态。表面看，标的资产并不优质，但其核心价值在于拥有一支从硅谷归来的技术团队，以及100G/400G光模块的系统设计能力。并购前，买方应验证的是：标的的技术路径是否属于产业升级的确定性方向，而非仅看当期盈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苏州旭创的创始团队来自Opnext、JDSU等光通信企业，在光模块封装、光学设计、高速电路等领域具备深厚积累。截至2016年，旭创已量产40G/100G光模块，客户包括谷歌、亚马逊等云厂商，但受限于产能和资金，无法快速扩大规模。中际装备作为上市公司，能提供融资平台和产能扩张所需的资本。买方真正的战略意图是“买技术+买团队+买市场卡位”，而非买重资产或制造产能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从交易对价看，28亿元对应旭创2016年预测净利润1.75亿元的16倍PE，看似不低，但考虑到光模块行业的成长性和客户粘性，这一估值具备合理性。并购前，买方应通过尽调验证：标的的客户订单是否可持续？技术迭代周期中是否存在被替代风险？旭创与谷歌的合作协议、亚马逊的供应商认证资质，都是关键验证点。此外，光模块行业的价格年降幅度约20%-30%，买方需在财务模型中模拟价格下降对盈利的影响，确保业绩承诺的可靠性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二、交易结构设计：股份支付、业绩承诺与超额奖励的平衡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本次交易采用发行股份及支付现金方式，其中股份支付占比约75%，现金支付约25%。中际装备向旭创全体股东发行股份购买其持有的100%股权，同时募集配套资金不超过5亿元。股份支付以中际装备停牌前20个交易日均价为基准，锁定了交易双方的利益，降低了现金压力。对并购方面言，这种结构的好处是：标的股东获得上市公司股份，其利益与未来股价绑定，减少短期套现冲动。配套资金主要用于标的公司在建项目及补充流动资金，为投后产能扩张提供了弹药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业绩承诺是交易结构的关键环节。原股东承诺2016-2018年扣非净利润分别不低于1.75亿元、2.11亿元、2.53亿元，合计约6.39亿元。实际完成情况：2016年净利润约2.3亿元，超额31%；2017年约3.6亿元，超额71%；2018年约6.2亿元，超额145%。超额完成的部分按约定进行奖励，同时标的股东获得了更高的股份价值。并购前，买方应根据行业周期和在手订单设定合理的业绩目标，不宜过高或过低。旭创的承诺基于当时已确定的谷歌订单和通信设备商订单，有较强确定性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此外，交易结构还设置了超额业绩奖励机制：若累计实际净利润超过承诺数150%，则超出部分的30%作为现金奖励给管理层。这种设计激励标的团队持续超预期完成目标，而非仅仅达到底线。同时，交易完成后，中际装备更名为中际旭创，原旭创管理层继续留任并主导业务经营，实控人刘圣担任总经理，后升任董事长。并购方并未过多干预日常运营，而是提供上市平台和资金支持，这种“平台+创业团队”的模式值得借鉴。另外，交易中设定了股份锁定期，确保管理层与上市公司长期利益一致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三、投后整合的关键：保留管理层、拓宽客户与产能扩张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交割完成后，投后整合面临的第一个挑战是管理层留存。旭创原股东在交易后仍持有上市公司约30%股份（不考虑配套融资），且业绩承诺期内独立运营。中际装备保留了旭创的研发、销售、制造团队，仅派驻财务总监。这种“轻触式整合”避免了许多并购中常见的文化冲突和人才流失。从结果看，旭创核心团队至今保持稳定，刘圣从总经理升任董事长，成为公司实际舵手。2018年业绩承诺期结束后，核心管理团队未出现大规模离职，这得益于股权激励和超额奖励的持续绑定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第二个整合重点是客户拓展。</w:t>
      </w:r>
      <w:r>
        <w:rPr>
          <w:rFonts w:ascii="Times New Roman" w:hAnsi="Times New Roman" w:eastAsia="仿宋" w:cs="Times New Roman"/>
          <w:b w:val="0"/>
          <w:sz w:val="28"/>
        </w:rPr>
        <w:t>旭创原先主要客户集中在海外云厂商，2016年海外收入占比约70%。借助上市公司的品牌和融资能力，旭创逐步进入国内电信运营商和互联网厂商的供应链，如华为、中兴等。2018年之后，国内5G建设启动，旭创的100G/200G产品在电信市场放量，营收从2016年的9.5亿元增长至2020年的70亿元，其中来自国内客户的收入占比提升至40%以上。并购后，买方应帮助标的开拓新市场，而非仅依靠原有渠道。同时，客户集中度风险需要监控，旭创对谷歌的收入占比一度超过50%，买方应推动客户多元化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产能扩张是整合的另一关键。旭创在苏州、铜陵等地建设生产基地，上市后通过定增、可转债等方式累计融资超过50亿元，用于扩大光模块产能。2016年旭创产能约200万只/年，到2020年提升至超过2000万只/年。产能的快速扩张需要上市公司提供持续的资本支持，这也是并购前应评估的投后资金需求。中际装备在交易时预留了配套融资额度，并后续多次再融资，确保了产能跟上订单增长。此外，买方还需建立高效的供应链管理体系，以应对上游光芯片、电芯片的供应波动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四、产业周期共振：从4G到5G再到AI算力的跃迁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并购时点（2016-2017年）正值全球4G网络成熟、5G研发启动的窗口期。光模块作为通信设备的核心器件，受益于数据流量爆发。旭创的100G产品在2016年开始大规模出货，恰好赶上云计算数据中心从40G向100G升级的浪潮。并购后，旭创快速推出200G、400G产品，2019年400G产品开始批量供货，市占率全球领先。产业周期判断是并购成功的外在条件，买方应验证标的所处细分领域的增长曲线是否依然向上。事实上，如果并购时点错误，再优秀的团队也可能受制于行业下行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2020年后，AI大模型的训练需求拉动算力基础设施投资，光模块从400G向800G、1.6T演进。旭创作为英伟达、谷歌的核心供应商，2023年净利润超过30亿元，2024年超过50亿元，市值一度突破万亿。产业周期的叠加效应使得旭创的成长远超当初业绩承诺。这一案例说明，并购标的不仅要有当下的客户和产品，更要具备向下一代技术升级的能力。买方在尽调时应要求目标公司提供技术路线图，并验证其研发团队能否支持迭代。旭创的800G产品在2022年已送样，2023年开始批量交付，抓住了AI算力爆发的关键窗口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值得注意的是，产业周期也存在下行风险。光模块价格每年下降20-30%，旭创需通过降低成本、提升良率来维持毛利率。并购前，买方应模拟不同价格下降幅度下的盈利情况，确保业绩承诺在价格压力下仍有实现可能。中际装备在这方面的假设管理较为成功：旭创的产品结构持续向高端迁移，毛利率从25%提升至30%以上，抵消了价格下降的影响。同时，标的公司的客户粘性极强，认证周期长达12-18个月，构筑了竞争壁垒。但买方仍需警惕技术替代风险，如硅光、CPO等新技术可能颠覆传统光模块。</w:t>
      </w:r>
    </w:p>
    <w:p>
      <w:pPr>
        <w:spacing w:before="160" w:after="80"/>
        <w:ind w:firstLine="200"/>
      </w:pPr>
      <w:r>
        <w:rPr>
          <w:rFonts w:ascii="Times New Roman" w:hAnsi="Times New Roman" w:eastAsia="仿宋" w:cs="Times New Roman"/>
          <w:b/>
          <w:sz w:val="28"/>
        </w:rPr>
        <w:t>五、可复用的并购经验：跨界并购必须验证的四个假设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第一个假设：技术壁垒是否真实且可持续。</w:t>
      </w:r>
      <w:r>
        <w:rPr>
          <w:rFonts w:ascii="Times New Roman" w:hAnsi="Times New Roman" w:eastAsia="仿宋" w:cs="Times New Roman"/>
          <w:b w:val="0"/>
          <w:sz w:val="28"/>
        </w:rPr>
        <w:t>旭创的光模块设计涉及光电混合封装、高速信号完整性等核心技术，竞争对手短期内难以复制。买方应通过专利、研发人员背景、客户认证清单等验证壁垒强度。对于跨界并购，买方尤其需要技术顾问的独立意见，而不是盲目相信标的方的宣传。中际装备在交易前聘请了光通信行业专家进行尽职调查，确认了旭创在100G/400G产品上的领先地位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第二个假设：产业周期是否处在上升阶段或拐点。</w:t>
      </w:r>
      <w:r>
        <w:rPr>
          <w:rFonts w:ascii="Times New Roman" w:hAnsi="Times New Roman" w:eastAsia="仿宋" w:cs="Times New Roman"/>
          <w:b w:val="0"/>
          <w:sz w:val="28"/>
        </w:rPr>
        <w:t>2016年光模块行业处于4G后周期和100G升级初期，旭创的业绩增长有行业大背景支撑。如果行业处于下行期或技术路线面临替代，即便管理层再优秀，也可能回天乏术。买方应在尽调中分析标的所在行业的五年发展轨迹，并设定悲观、基准、乐观三种情形下的财务预测。同时，应关注行业政策变化，如中美贸易摩擦对海外业务的影响，旭创通过在中国大陆和东南亚布局产能缓解了部分风险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/>
          <w:sz w:val="28"/>
        </w:rPr>
        <w:t>第三个假设：管理层是否愿意长期留任并保持创业激情。</w:t>
      </w:r>
      <w:r>
        <w:rPr>
          <w:rFonts w:ascii="Times New Roman" w:hAnsi="Times New Roman" w:eastAsia="仿宋" w:cs="Times New Roman"/>
          <w:b w:val="0"/>
          <w:sz w:val="28"/>
        </w:rPr>
        <w:t>旭创团队在交易后通过持股和超额奖励获得了足够的激励，且中际装备给予了充分的经营自主权。并购协议中应包含关键人员竞业限制、服务期条款、股权锁定期等安排。如果管理层在考核期后离职，标的的价值可能大幅缩水。买方应在交割前与核心管理层深入沟通，了解其个人愿景和利益诉求。中际装备在交易后提拔刘圣为董事长，实控人王伟修之子担任副董事长，形成了稳定的治理结构。</w:t>
      </w:r>
    </w:p>
    <w:p>
      <w:pPr>
        <w:spacing w:line="240" w:lineRule="auto"/>
        <w:ind w:firstLine="560"/>
        <w:jc w:val="both"/>
      </w:pPr>
      <w:r>
        <w:rPr>
          <w:rFonts w:ascii="Times New Roman" w:hAnsi="Times New Roman" w:eastAsia="仿宋" w:cs="Times New Roman"/>
          <w:b w:val="0"/>
          <w:sz w:val="28"/>
        </w:rPr>
        <w:t>第四个假设：上市平台能否提供标的所需资源。中际装备虽然规模小，但作为上市公司，能够提供融资渠道、品牌背书和治理规范。如果上市平台本身负债沉重、融资受限或存在治理缺陷，则可能拖累标的的发展。买方应在并购前评估自身的资本运作能力，并规划好后续融资计划。中际装备在交易后通过多次再融资累计募集超过50亿元，为产能扩张和研发投入提供了资金。此外，交易结构中的股份支付比例、业绩承诺的弹性、超额奖励的设定都需要结合双方实际情况量身定制，而非简单套用模板。买方还应注意合规风险，如信息披露、关联交易、同业竞争等问题，确保交易顺利通过监管审核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ind w:firstLine="560"/>
      <w:jc w:val="both"/>
    </w:pPr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