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千亿重整方案的核心是系统工程能力而非资产本身：紫光集团破产重整对产业并购的启示</w:t>
      </w:r>
    </w:p>
    <w:p>
      <w:pPr>
        <w:spacing w:line="240" w:lineRule="auto"/>
        <w:ind w:firstLine="560"/>
        <w:jc w:val="both"/>
      </w:pPr>
      <w:r>
        <w:rPr>
          <w:rFonts w:ascii="Times New Roman" w:hAnsi="Times New Roman" w:eastAsia="仿宋" w:cs="Times New Roman"/>
          <w:b w:val="0"/>
          <w:sz w:val="28"/>
        </w:rPr>
        <w:t>当一家资产规模超过3000亿元、负债接近2000亿元的科技集团陷入破产，谁来接盘、出价多少、如何重组，就成为检验产业并购逻辑的试金石。紫光集团重整案给出了一个答案：重整投资人智路建广联合体出资约600亿元，并非买入一堆重资产，而是买入对半导体产业链的系统工程管理能力。对于上市公司董事长和产业集团负责人而言，这个案例最直接的借鉴价值在于：并购前必须判断标的的风险是否可隔离、债务是否可以有序安排、核心人才和客户是否会流失，而重整交易结构的设计又直接决定了投后整合的成败。以下围绕买方为何选择重整而非清算、债务清偿方案的商业逻辑、失败扩张的根源、投后治理的转变以及可复用的并购决策框架五个维度展开。</w:t>
      </w:r>
    </w:p>
    <w:p>
      <w:pPr>
        <w:spacing w:before="160" w:after="80"/>
        <w:ind w:firstLine="200"/>
      </w:pPr>
      <w:r>
        <w:rPr>
          <w:rFonts w:ascii="Times New Roman" w:hAnsi="Times New Roman" w:eastAsia="仿宋" w:cs="Times New Roman"/>
          <w:b/>
          <w:sz w:val="28"/>
        </w:rPr>
        <w:t>一、重整投资人买入的是产业链整合能力，而非重资产本身</w:t>
      </w:r>
    </w:p>
    <w:p>
      <w:pPr>
        <w:spacing w:line="240" w:lineRule="auto"/>
        <w:ind w:firstLine="560"/>
        <w:jc w:val="both"/>
      </w:pPr>
      <w:r>
        <w:rPr>
          <w:rFonts w:ascii="Times New Roman" w:hAnsi="Times New Roman" w:eastAsia="仿宋" w:cs="Times New Roman"/>
          <w:b w:val="0"/>
          <w:sz w:val="28"/>
        </w:rPr>
        <w:t>紫光集团在破产之时，旗下拥有紫光展锐、紫光国微、长江存储、紫光股份等多家核心子公司，其中紫光国微市值一度突破千亿元，长江存储是国内NAND Flash领域的稀缺资产。这些子公司本身经营基本面尚可，但集团层面因过度负债导致流动性断裂。重整投资人智路建广联合体（由中关村融信产业联盟旗下的智路资本和建广资产主导）选择以整体重整方式介入，而非拆分出售，核心逻辑是保留紫光集团的产业协同能力。据公开资料，联合体计划出资约600亿元，其中约400亿元用于清偿债务，剩余约200亿元用于集团后续发展和注入新资产。这600亿元对应的是集团整体控制权，而非单独收购某一家子公司。</w:t>
      </w:r>
    </w:p>
    <w:p>
      <w:pPr>
        <w:spacing w:line="240" w:lineRule="auto"/>
        <w:ind w:firstLine="560"/>
        <w:jc w:val="both"/>
      </w:pPr>
      <w:r>
        <w:rPr>
          <w:rFonts w:ascii="Times New Roman" w:hAnsi="Times New Roman" w:eastAsia="仿宋" w:cs="Times New Roman"/>
          <w:b w:val="0"/>
          <w:sz w:val="28"/>
        </w:rPr>
        <w:t>从估值角度看，紫光集团纳入重整的资产价值远低于其账面值，但重整投资人看重的是其芯片设计、制造、封测的完整布局，以及紫光展锐在移动通信芯片领域的市场地位、紫光国微在特种芯片的领先性。如果单独拍卖，可能遭遇贱卖或潜在竞争对手拆分核心资产。因此，重整设计的关键在于“整体承接”而非“破产清算”，这使得买方能够以相对可控的成本获得一个具备造血能力的产业平台。对于产业资本而言，这意味着面对陷入困境的集团型企业，应优先评估其内部协同价值是否大于各部分单独价值之和，再决定是否介入。</w:t>
      </w:r>
    </w:p>
    <w:p>
      <w:pPr>
        <w:spacing w:before="160" w:after="80"/>
        <w:ind w:firstLine="200"/>
      </w:pPr>
      <w:r>
        <w:rPr>
          <w:rFonts w:ascii="Times New Roman" w:hAnsi="Times New Roman" w:eastAsia="仿宋" w:cs="Times New Roman"/>
          <w:b/>
          <w:sz w:val="28"/>
        </w:rPr>
        <w:t>二、债务清偿方案以小博大：普通债权14%清偿率与战略债权转股权的博弈</w:t>
      </w:r>
    </w:p>
    <w:p>
      <w:pPr>
        <w:spacing w:line="240" w:lineRule="auto"/>
        <w:ind w:firstLine="560"/>
        <w:jc w:val="both"/>
      </w:pPr>
      <w:r>
        <w:rPr>
          <w:rFonts w:ascii="Times New Roman" w:hAnsi="Times New Roman" w:eastAsia="仿宋" w:cs="Times New Roman"/>
          <w:b w:val="0"/>
          <w:sz w:val="28"/>
        </w:rPr>
        <w:t>紫光集团重整计划的债务清偿方案体现了强烈的“保主体、保核心资产”导向。据法院裁定及公告，紫光集团总负债约2000亿元，其中金融债权约1300亿元，经营性债权约700亿元。重整方案将债权分为有财产担保债权、职工债权、税款债权和普通债权等类别：有财产担保债权在担保财产范围内优先清偿，职工债权和税款债权全额清偿；普通债权中，每家债权人50万元以下部分全额清偿，超过部分按约14%的比例现金清偿。这一清偿率在大型破产重整中属较低水平，但债权人接受该方案的核心原因是：如果不重整，清算清偿率更低，且核心资产将被迫出售。</w:t>
      </w:r>
    </w:p>
    <w:p>
      <w:pPr>
        <w:spacing w:line="240" w:lineRule="auto"/>
        <w:ind w:firstLine="560"/>
        <w:jc w:val="both"/>
      </w:pPr>
      <w:r>
        <w:rPr>
          <w:rFonts w:ascii="Times New Roman" w:hAnsi="Times New Roman" w:eastAsia="仿宋" w:cs="Times New Roman"/>
          <w:b w:val="0"/>
          <w:sz w:val="28"/>
        </w:rPr>
        <w:t>值得关注的是，部分战略债权人通过“债转股”方式参与重整，成为新紫光集团的股东。例如，部分银团债权转为集团股权，分享未来增值收益。这种安排使得债权人的短期损失转化为长期股权回报，有助于减少重整阻力。对于买方而言，600亿元出资中大量用于偿还债务，相当于以“债权收购+股权对价”的组合方式获得控制权。这给企业家带来的启示是：在困境企业并购中，交易结构设计应尽量将债权人拉入利益共同体，用未来权益弥补眼前损失，从而降低收购总成本。</w:t>
      </w:r>
    </w:p>
    <w:p>
      <w:pPr>
        <w:spacing w:line="240" w:lineRule="auto"/>
        <w:ind w:firstLine="560"/>
        <w:jc w:val="both"/>
      </w:pPr>
      <w:r>
        <w:rPr>
          <w:rFonts w:ascii="Times New Roman" w:hAnsi="Times New Roman" w:eastAsia="仿宋" w:cs="Times New Roman"/>
          <w:b w:val="0"/>
          <w:sz w:val="28"/>
        </w:rPr>
        <w:t>另外，重整投资人还引入了工业富联等产业资本参与出资。据公开信息，工业富联曾公告以约98亿元参与紫光集团重整，成为重要股东。这种“产业投资人+财务投资人”的结构，既缓解了联合体的资金压力，又为后续业务协同埋下伏笔。并购前需要验证的一个关键假设是：重整方的资金实力和各方利益诉求是否匹配，资金到位时间表是否与法院重整执行期吻合。</w:t>
      </w:r>
    </w:p>
    <w:p>
      <w:pPr>
        <w:spacing w:before="160" w:after="80"/>
        <w:ind w:firstLine="200"/>
      </w:pPr>
      <w:r>
        <w:rPr>
          <w:rFonts w:ascii="Times New Roman" w:hAnsi="Times New Roman" w:eastAsia="仿宋" w:cs="Times New Roman"/>
          <w:b/>
          <w:sz w:val="28"/>
        </w:rPr>
        <w:t>三、扩张失序的根源：高杠杆并购与产业周期错配的致命组合</w:t>
      </w:r>
    </w:p>
    <w:p>
      <w:pPr>
        <w:spacing w:line="240" w:lineRule="auto"/>
        <w:ind w:firstLine="560"/>
        <w:jc w:val="both"/>
      </w:pPr>
      <w:r>
        <w:rPr>
          <w:rFonts w:ascii="Times New Roman" w:hAnsi="Times New Roman" w:eastAsia="仿宋" w:cs="Times New Roman"/>
          <w:b w:val="0"/>
          <w:sz w:val="28"/>
        </w:rPr>
        <w:t>紫光集团从2013年起开启激进的并购扩张之路，先后收购展讯通信、锐迪科（二者整合为紫光展锐）、新华三股权，并投资建设长江存储等重资产项目。这些收购大多依赖债务融资，集团负债率从2014年的约60%攀升至2020年的约80%以上。原董事长赵伟国主导的“并购+投资”模式，试图通过快速收购打造与三星、美光抗衡的芯片帝国。然而，一方面，部分收购标的估值过高，对价远高于自身现金流创造能力；另一方面，半导体行业具有强周期性和长投入周期，新建产线需要持续烧钱，但融资环境在2020年后转向收紧，最终导致债务违约。</w:t>
      </w:r>
    </w:p>
    <w:p>
      <w:pPr>
        <w:spacing w:line="240" w:lineRule="auto"/>
        <w:ind w:firstLine="560"/>
        <w:jc w:val="both"/>
      </w:pPr>
      <w:r>
        <w:rPr>
          <w:rFonts w:ascii="Times New Roman" w:hAnsi="Times New Roman" w:eastAsia="仿宋" w:cs="Times New Roman"/>
          <w:b w:val="0"/>
          <w:sz w:val="28"/>
        </w:rPr>
        <w:t>核心教训在于：并购前必须验证标的的现金流独立性。紫光集团的问题在于集团层面负债极度集中，而核心子公司的现金流无法上缴或用于偿债，形成“母弱子强”的倒挂结构。此外，大量短期债务被用于长期股权投资，期限错配在融资收紧时引爆流动性危机。对于上市公司决策者，这个案例说明：在评估标的时，不仅要看子公司业务前景，更要看集团层面的债务期限结构、关联担保情况以及资金归集机制。一旦发现母公司的现金流主要依赖子公司分红且存在大量短债长投，应视为高危信号。</w:t>
      </w:r>
    </w:p>
    <w:p>
      <w:pPr>
        <w:spacing w:line="240" w:lineRule="auto"/>
        <w:ind w:firstLine="560"/>
        <w:jc w:val="both"/>
      </w:pPr>
      <w:r>
        <w:rPr>
          <w:rFonts w:ascii="Times New Roman" w:hAnsi="Times New Roman" w:eastAsia="仿宋" w:cs="Times New Roman"/>
          <w:b w:val="0"/>
          <w:sz w:val="28"/>
        </w:rPr>
        <w:t>另一个值得关注的失败点是内部治理失衡。赵伟国集董事长、CEO于一身，决策高度集中，董事会和风险控制机制形同虚设。据公开报道，赵伟国曾多次绕过正常程序进行巨额担保和投资。这提醒买方在并购前必须核查目标公司的治理体系，特别是大股东的决策权限和关联交易记录。若治理结构存在缺陷，即使资产优质，也可能因个人风险导致集团崩盘。</w:t>
      </w:r>
    </w:p>
    <w:p>
      <w:pPr>
        <w:spacing w:before="160" w:after="80"/>
        <w:ind w:firstLine="200"/>
      </w:pPr>
      <w:r>
        <w:rPr>
          <w:rFonts w:ascii="Times New Roman" w:hAnsi="Times New Roman" w:eastAsia="仿宋" w:cs="Times New Roman"/>
          <w:b/>
          <w:sz w:val="28"/>
        </w:rPr>
        <w:t>四、投后整合以“放权+聚焦”为核心，核心子公司独立运作</w:t>
      </w:r>
    </w:p>
    <w:p>
      <w:pPr>
        <w:spacing w:line="240" w:lineRule="auto"/>
        <w:ind w:firstLine="560"/>
        <w:jc w:val="both"/>
      </w:pPr>
      <w:r>
        <w:rPr>
          <w:rFonts w:ascii="Times New Roman" w:hAnsi="Times New Roman" w:eastAsia="仿宋" w:cs="Times New Roman"/>
          <w:b w:val="0"/>
          <w:sz w:val="28"/>
        </w:rPr>
        <w:t>重整完成后，新紫光集团成立了由李滨担任董事长的管理层。新管理层明确将集团定位为“战略控股型资本平台”，不再直接干预子公司日常经营，而是通过派出董事和管理团队考核来实施管控。紫光展锐、紫光国微、长江存储等核心子公司保留原管理层和品牌，并各自设立独立的董事会和经营层。这种“分权式整合”有效避免了重整前集团干预过度、决策低效的问题。据公开报道，新紫光集团还剥离了非核心业务，聚焦半导体设计、制造和封测三大赛道。</w:t>
      </w:r>
    </w:p>
    <w:p>
      <w:pPr>
        <w:spacing w:line="240" w:lineRule="auto"/>
        <w:ind w:firstLine="560"/>
        <w:jc w:val="both"/>
      </w:pPr>
      <w:r>
        <w:rPr>
          <w:rFonts w:ascii="Times New Roman" w:hAnsi="Times New Roman" w:eastAsia="仿宋" w:cs="Times New Roman"/>
          <w:b w:val="0"/>
          <w:sz w:val="28"/>
        </w:rPr>
        <w:t>资金使用方面，重整投资款中的约200亿元被用于补充子公司资本金和研发投入。例如，紫光展锐获得了数十亿元资金支持，用于5G芯片研发；长江存储则通过引入国家大基金二期和湖北国资，强化资本结构。投后整合的关键动作还包括：统一财务制度与内控体系，但赋予子公司较大的自主经营权限，以KPI而非过程控制为主。这给产业集团的最大启示是：并购后承接的核心不是“管住”，而是“激活”。对于拥有多个独立业务板块的集团，总部应侧重战略和资本配置，而非日常运营。</w:t>
      </w:r>
    </w:p>
    <w:p>
      <w:pPr>
        <w:spacing w:line="240" w:lineRule="auto"/>
        <w:ind w:firstLine="560"/>
        <w:jc w:val="both"/>
      </w:pPr>
      <w:r>
        <w:rPr>
          <w:rFonts w:ascii="Times New Roman" w:hAnsi="Times New Roman" w:eastAsia="仿宋" w:cs="Times New Roman"/>
          <w:b w:val="0"/>
          <w:sz w:val="28"/>
        </w:rPr>
        <w:t>此外，新集团积极处理历史遗留的担保和关联交易风险。重整时统一了担保条款，切断了母子公司之间的交叉担保链条。这一措施使得即使某一子公司再度陷入困境，也不会传导至集团。对于并购方而言，交割后应首先建立风险隔离机制，包括重新梳理担保关系、设立内部防火墙、明确资金池规则，防止重整前的“多米诺骨牌”效应重现。</w:t>
      </w:r>
    </w:p>
    <w:p>
      <w:pPr>
        <w:spacing w:before="160" w:after="80"/>
        <w:ind w:firstLine="200"/>
      </w:pPr>
      <w:r>
        <w:rPr>
          <w:rFonts w:ascii="Times New Roman" w:hAnsi="Times New Roman" w:eastAsia="仿宋" w:cs="Times New Roman"/>
          <w:b/>
          <w:sz w:val="28"/>
        </w:rPr>
        <w:t>五、并购前必须验证的五大假设与可操作的交易结构设计</w:t>
      </w:r>
    </w:p>
    <w:p>
      <w:pPr>
        <w:spacing w:line="240" w:lineRule="auto"/>
        <w:ind w:firstLine="560"/>
        <w:jc w:val="both"/>
      </w:pPr>
      <w:r>
        <w:rPr>
          <w:rFonts w:ascii="Times New Roman" w:hAnsi="Times New Roman" w:eastAsia="仿宋" w:cs="Times New Roman"/>
          <w:b w:val="0"/>
          <w:sz w:val="28"/>
        </w:rPr>
        <w:t>紫光案例为上市公司决策者提供了五个必须验证的核心假设。第一，债务结构是否具有“灰犀牛”特征：短期债务占比、利率水平、应付利息与经营现金流之比，若指标持续恶化，必须要求卖方在交易前完成债务重组。第二，核心资产是否具备独立生存能力：即排除集团支持后，子公司是否能独立融资、经营、获客。紫光旗下多数子公司财务独立，但集团层面抽血严重，重整后反而释放了价值。第三，重整或收购方案能否获得关键债权人同意：重整计划需要债权人会议表决通过，买方应在出资前与主要债权组沟通，形成预重整方案。第四，管理团队是否稳定能干：紫光展锐CEO楚庆等高层在重整后留任，对业务平稳过渡至关重要。第五，监管审批是否存在障碍：紫光重整涉及反垄断、国家安全审查，买方应提前识别。</w:t>
      </w:r>
    </w:p>
    <w:p>
      <w:pPr>
        <w:spacing w:line="240" w:lineRule="auto"/>
        <w:ind w:firstLine="560"/>
        <w:jc w:val="both"/>
      </w:pPr>
      <w:r>
        <w:rPr>
          <w:rFonts w:ascii="Times New Roman" w:hAnsi="Times New Roman" w:eastAsia="仿宋" w:cs="Times New Roman"/>
          <w:b w:val="0"/>
          <w:sz w:val="28"/>
        </w:rPr>
        <w:t>在交易结构设计上，紫光案提供了三条可参考路径。其一，采用“低价收购+债转股”组合：以相对低的现金对价控制权，同时将部分债务转为股权，降低当期现金支出。其二，设立SPV承接目标资产隔离风险：智路建广联合体通过主体承接集团全部资产，但内部设立防火墙。其三，引入产业协同方作为联合出资人：如工业富联的参与，既提供资金，又带来制造协同，同时分散风险。对于上市公司而言，若以产业整合为目的，可考虑与关联方共同设立并购基金，采用“上市公司+PE”模式操作，避免上市公司直接背负过大债务风险。</w:t>
      </w:r>
    </w:p>
    <w:p>
      <w:pPr>
        <w:spacing w:line="240" w:lineRule="auto"/>
        <w:ind w:firstLine="560"/>
        <w:jc w:val="both"/>
      </w:pPr>
      <w:r>
        <w:rPr>
          <w:rFonts w:ascii="Times New Roman" w:hAnsi="Times New Roman" w:eastAsia="仿宋" w:cs="Times New Roman"/>
          <w:b w:val="0"/>
          <w:sz w:val="28"/>
        </w:rPr>
        <w:t>最后，交割后整合应建立“百日计划”和定期复盘机制。新紫光集团在交割后第一个100天重组了董事会和管理层，梳理了核心流程。CEO应当亲自参与制定整合路线图，明确关键里程碑，尤其在信息技术系统统一、财务并表、合规体系建设等方面快速推进。同时，要保留标的原有的客户关系和研发节奏。紫光案例表明，重整后的企业需要至少两到三年才能恢复造血功能，管理层应有长期耐心。</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