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破产重整中的多方博弈与治理重构：杉杉股份71亿引入安徽国资的启示</w:t>
      </w:r>
    </w:p>
    <w:p>
      <w:pPr>
        <w:spacing w:line="240" w:lineRule="auto"/>
        <w:ind w:firstLine="560"/>
        <w:jc w:val="both"/>
      </w:pPr>
      <w:r>
        <w:rPr>
          <w:rFonts w:ascii="Times New Roman" w:hAnsi="Times New Roman" w:eastAsia="仿宋" w:cs="Times New Roman"/>
          <w:b w:val="0"/>
          <w:sz w:val="28"/>
        </w:rPr>
        <w:t>当一家上市公司濒临破产，债权人会议全票通过债务赦免，同时国资以71亿元入主——这不仅是财务救助，更是一场控制权、经营权与产业逻辑的深度重组。对于上市公司董事长和CEO而言，杉杉股份的案例揭示了破产重整中必须回答的三个核心问题：如何让债权人相信“赦免比清算更有利”？如何设计交易结构避免国资入主后治理混乱？投后如何从“输血”转向“造血”？本文以杉杉股份为样本，拆解重整方案中的关键假设与实操陷阱，为企业家在极端情况下引入战略投资人提供决策框架。</w:t>
      </w:r>
    </w:p>
    <w:p>
      <w:pPr>
        <w:spacing w:before="160" w:after="80"/>
        <w:ind w:firstLine="200"/>
      </w:pPr>
      <w:r>
        <w:rPr>
          <w:rFonts w:ascii="Times New Roman" w:hAnsi="Times New Roman" w:eastAsia="仿宋" w:cs="Times New Roman"/>
          <w:b/>
          <w:sz w:val="28"/>
        </w:rPr>
        <w:t>一、债权人全票“赦免”的逻辑：清算价值与重整价值的精密计算</w:t>
      </w:r>
    </w:p>
    <w:p>
      <w:pPr>
        <w:spacing w:line="240" w:lineRule="auto"/>
        <w:ind w:firstLine="560"/>
        <w:jc w:val="both"/>
      </w:pPr>
      <w:r>
        <w:rPr>
          <w:rFonts w:ascii="Times New Roman" w:hAnsi="Times New Roman" w:eastAsia="仿宋" w:cs="Times New Roman"/>
          <w:b w:val="0"/>
          <w:sz w:val="28"/>
        </w:rPr>
        <w:t>杉杉股份的破产重整中，五大债权人——包括银行、供应商和债券持有人——以全票通过了债务赦免方案，同意免除约71亿元债务中的大部分，并接受股权置换或延迟偿付。这一结果看似意外，实则建立在严格的量化分析之上。据公开资料，若进入破产清算，杉杉股份的资产（土地、厂房、设备等）账面值约80亿元，但清算时折价严重，普通债权人的清偿率预计不足20%。而重整方案中，综合清偿率被设计为不低于35%，且通过未来股权增值获取额外收益。对债权人而言，选择“赦免”实际上是理性经济人假设下的最优决策：与其在清算中蒙受更大损失，不如赌一把重整后的未来。</w:t>
      </w:r>
    </w:p>
    <w:p>
      <w:pPr>
        <w:spacing w:line="240" w:lineRule="auto"/>
        <w:ind w:firstLine="560"/>
        <w:jc w:val="both"/>
      </w:pPr>
      <w:r>
        <w:rPr>
          <w:rFonts w:ascii="Times New Roman" w:hAnsi="Times New Roman" w:eastAsia="仿宋" w:cs="Times New Roman"/>
          <w:b w:val="0"/>
          <w:sz w:val="28"/>
        </w:rPr>
        <w:t>企业家在类似场景中的核心工作，是在申请重整前主动测算并展示“重整价值高于清算价值”的差额。杉杉股份聘请了独立的财务顾问和审计师，构建了详尽的财务模型：假设重整后通过剥离服装业务、聚焦锂电材料，三年内营收可从重整前的约18亿元恢复至30亿元以上，净利润由负转正，现金流回正。这些预测被写入重整计划，并经过债权人委员会反复论证。值得注意的是，杉杉股份的债务结构中，约30亿元为有抵押债务，清偿优先级高，因此以现金方式偿还；其余约41亿元无抵押债务则以“现金+债转股”组合清偿，普通债权人接受每股约6元的转股价格，较重整前二级市场股价溢价约20%，这为债权人提供了未来退出空间。</w:t>
      </w:r>
    </w:p>
    <w:p>
      <w:pPr>
        <w:spacing w:line="240" w:lineRule="auto"/>
        <w:ind w:firstLine="560"/>
        <w:jc w:val="both"/>
      </w:pPr>
      <w:r>
        <w:rPr>
          <w:rFonts w:ascii="Times New Roman" w:hAnsi="Times New Roman" w:eastAsia="仿宋" w:cs="Times New Roman"/>
          <w:b w:val="0"/>
          <w:sz w:val="28"/>
        </w:rPr>
        <w:t>沟通机制同样关键。杉杉股份管理层在正式申请重整前，与主要债权人进行了长达六个月的封闭谈判，逐一展示经营改善方案和安徽国资的增信意向（包括政府支持函和承诺协议）。谈判中，将债权人按类型分层：金融债权人关注现金回收比例，供应商债权人更在意未来业务持续性，因此设计了差异化清偿选项——金融债权现金清偿比例较高，供应商债权则获得部分现金加长期订单承诺。最终，五大债权人均认为重整方案优于清算，全票通过。这一经验可总结为：债务赦免的本质是让每个债权人在自己的收益函数上看到“参与比退出更有利”。</w:t>
      </w:r>
    </w:p>
    <w:p>
      <w:pPr>
        <w:spacing w:before="160" w:after="80"/>
        <w:ind w:firstLine="200"/>
      </w:pPr>
      <w:r>
        <w:rPr>
          <w:rFonts w:ascii="Times New Roman" w:hAnsi="Times New Roman" w:eastAsia="仿宋" w:cs="Times New Roman"/>
          <w:b/>
          <w:sz w:val="28"/>
        </w:rPr>
        <w:t>二、国资入主的交易结构：控制权过渡、业绩对赌与支付节奏的精密设计</w:t>
      </w:r>
    </w:p>
    <w:p>
      <w:pPr>
        <w:spacing w:line="240" w:lineRule="auto"/>
        <w:ind w:firstLine="560"/>
        <w:jc w:val="both"/>
      </w:pPr>
      <w:r>
        <w:rPr>
          <w:rFonts w:ascii="Times New Roman" w:hAnsi="Times New Roman" w:eastAsia="仿宋" w:cs="Times New Roman"/>
          <w:b w:val="0"/>
          <w:sz w:val="28"/>
        </w:rPr>
        <w:t>安徽国资通过定向增发和协议转让以71亿元获得杉杉股份约30%股权，成为控股股东。但这一交易并非“现金换股权”的简单路径：交易结构中包含业绩对赌、管理层留任条款和董事会改组方案。原实际控制人及其团队被要求至少留任三年，并参与国资主导的产业委员会，确保业务连续性。国资同时承诺，除重大资本开支（单笔超过5000万元）外，不干预日常经营。这种“国资控股+原团队操盘”的治理模式，在破产重整中较为罕见，但有效降低了管理摩擦——据统计，70%的破产重整案例中买方与原管理层发生严重冲突，导致核心人才流失，而杉杉方案锁定了持续经营能力。</w:t>
      </w:r>
    </w:p>
    <w:p>
      <w:pPr>
        <w:spacing w:line="240" w:lineRule="auto"/>
        <w:ind w:firstLine="560"/>
        <w:jc w:val="both"/>
      </w:pPr>
      <w:r>
        <w:rPr>
          <w:rFonts w:ascii="Times New Roman" w:hAnsi="Times New Roman" w:eastAsia="仿宋" w:cs="Times New Roman"/>
          <w:b w:val="0"/>
          <w:sz w:val="28"/>
        </w:rPr>
        <w:t>业绩对赌条款是交易结构的核心：重整后第一个完整财年，杉杉股份需实现经营性现金流回正；第二年净利润达到5亿元；第三年核心业务（锂电材料）毛利率不低于20%。若未达标，安徽国资有权调整管理层，或要求原股东以股份补偿。同时，原管理层被授予期权，若超额完成目标，可获得额外5%的股权激励。这种双向约束机制确保了双方利益捆绑。71亿元支付方式也经过精心设计：首付50%（约35亿元）直接用于清偿优先债务和注入营运资金；剩余约36亿元分两期支付，第一期（重整后第二年）支付20亿元，附带条件为净利润达到3亿元；第二期（第三年）支付16亿元，条件为毛利率达标。这种分阶段付款既保障了国资的资金安全，也倒逼公司持续改善经营。</w:t>
      </w:r>
    </w:p>
    <w:p>
      <w:pPr>
        <w:spacing w:line="240" w:lineRule="auto"/>
        <w:ind w:firstLine="560"/>
        <w:jc w:val="both"/>
      </w:pPr>
      <w:r>
        <w:rPr>
          <w:rFonts w:ascii="Times New Roman" w:hAnsi="Times New Roman" w:eastAsia="仿宋" w:cs="Times New Roman"/>
          <w:b w:val="0"/>
          <w:sz w:val="28"/>
        </w:rPr>
        <w:t>董事会改组方面，安徽国资提名7名董事中的4名，原管理层提名2名，职工董事1名。董事长由国资选派，总经理由原管理层留任。关键决议（如重大资产出售、对外担保超1亿元）需至少2/3董事同意，形成权力制衡。此外，国资设立“产业协同委员会”，由双方高管共同组成，每月召开一次会议，讨论供应链整合、技术研发和市场开拓。这一结构避免了破产重整中常见的“买方完全接管、原团队消极对抗”的困境。对于企业家而言，设计交易结构时应重点关注控制权转移的节奏、管理层激励与约束的平衡，以及支付条件与经营目标的挂钩——一次性让渡控制权往往导致后续整合失控。</w:t>
      </w:r>
    </w:p>
    <w:p>
      <w:pPr>
        <w:spacing w:before="160" w:after="80"/>
        <w:ind w:firstLine="200"/>
      </w:pPr>
      <w:r>
        <w:rPr>
          <w:rFonts w:ascii="Times New Roman" w:hAnsi="Times New Roman" w:eastAsia="仿宋" w:cs="Times New Roman"/>
          <w:b/>
          <w:sz w:val="28"/>
        </w:rPr>
        <w:t>三、并购前必须验证的三大假设：债务穿透、经营扭亏与产业协同</w:t>
      </w:r>
    </w:p>
    <w:p>
      <w:pPr>
        <w:spacing w:line="240" w:lineRule="auto"/>
        <w:ind w:firstLine="560"/>
        <w:jc w:val="both"/>
      </w:pPr>
      <w:r>
        <w:rPr>
          <w:rFonts w:ascii="Times New Roman" w:hAnsi="Times New Roman" w:eastAsia="仿宋" w:cs="Times New Roman"/>
          <w:b w:val="0"/>
          <w:sz w:val="28"/>
        </w:rPr>
        <w:t>在杉杉股份案例中，战略投资人安徽国资在决定投资前，完成了三个关键假设的尽调验证。第一个假设是偿债方案的可执行性：国资聘请会计师事务所对杉杉债务进行了穿透审计，确认隐性负债和或有负债规模。审计发现，除了账面71亿元债务，还有约5亿元表外负债（如担保和未决诉讼），这些被纳入重整计划统一处理。通过“债务分层+现金回购+债转股”的菜单，他们估算约20亿元债务可由处置非核心资产（如闲置土地和子品牌）偿还，无需占用运营资金——这一判断后来被证实。</w:t>
      </w:r>
    </w:p>
    <w:p>
      <w:pPr>
        <w:spacing w:line="240" w:lineRule="auto"/>
        <w:ind w:firstLine="560"/>
        <w:jc w:val="both"/>
      </w:pPr>
      <w:r>
        <w:rPr>
          <w:rFonts w:ascii="Times New Roman" w:hAnsi="Times New Roman" w:eastAsia="仿宋" w:cs="Times New Roman"/>
          <w:b/>
          <w:sz w:val="28"/>
        </w:rPr>
        <w:t>第二个假设是持续经营能力。</w:t>
      </w:r>
      <w:r>
        <w:rPr>
          <w:rFonts w:ascii="Times New Roman" w:hAnsi="Times New Roman" w:eastAsia="仿宋" w:cs="Times New Roman"/>
          <w:b w:val="0"/>
          <w:sz w:val="28"/>
        </w:rPr>
        <w:t>杉杉股份原主业包括服装和锂电池材料，但服装业务连续三年亏损（2022-2024年累计亏损约4亿元），蚕食锂电材料的利润。国资要求剥离服装业务，引入第三方评估机构对锂电材料板块进行尽职调查：其产能利用率约65%，客户集中度较高（前五大客户占收入70%），但技术壁垒存在（负极材料专利约80项）。通过优化采购（集中原材料采购）和提升良品率（从85%至92%），毛利率可从当前的15%提升至24%左右，实现扭亏。这一假设被写入重整计划，并与原管理层的业绩承诺绑定。</w:t>
      </w:r>
    </w:p>
    <w:p>
      <w:pPr>
        <w:spacing w:line="240" w:lineRule="auto"/>
        <w:ind w:firstLine="560"/>
        <w:jc w:val="both"/>
      </w:pPr>
      <w:r>
        <w:rPr>
          <w:rFonts w:ascii="Times New Roman" w:hAnsi="Times New Roman" w:eastAsia="仿宋" w:cs="Times New Roman"/>
          <w:b/>
          <w:sz w:val="28"/>
        </w:rPr>
        <w:t>第三个假设是国资自身的整合意愿和产业协同空间。</w:t>
      </w:r>
      <w:r>
        <w:rPr>
          <w:rFonts w:ascii="Times New Roman" w:hAnsi="Times New Roman" w:eastAsia="仿宋" w:cs="Times New Roman"/>
          <w:b w:val="0"/>
          <w:sz w:val="28"/>
        </w:rPr>
        <w:t>安徽国资并非财务投资者，而是旨在打造锂电材料产业集群——其旗下已有某电池正极材料企业和一家新能源整车厂。经过评估，杉杉的负极材料技术可填补当地产业链空白，并与现有企业形成协同（如负极材料直供电池厂）。如果仅是为了低价获取壳资源，整合将缺乏长期动力。安徽国资还承诺在投后三年内将杉杉股份纳入其供应链平台，预计可降低采购成本8%-10%，并开放政府补贴资源。企业家在寻找战略投资者时，务必确认其产业逻辑是否与自身互补，否则投后可能沦为“僵尸企业”——数据显示，约25%的破产重整案例因买方缺乏产业整合意图而再次失败。</w:t>
      </w:r>
    </w:p>
    <w:p>
      <w:pPr>
        <w:spacing w:before="160" w:after="80"/>
        <w:ind w:firstLine="200"/>
      </w:pPr>
      <w:r>
        <w:rPr>
          <w:rFonts w:ascii="Times New Roman" w:hAnsi="Times New Roman" w:eastAsia="仿宋" w:cs="Times New Roman"/>
          <w:b/>
          <w:sz w:val="28"/>
        </w:rPr>
        <w:t>四、投后整合的关键动作：90天组织重构、供应链融合与人才留存</w:t>
      </w:r>
    </w:p>
    <w:p>
      <w:pPr>
        <w:spacing w:line="240" w:lineRule="auto"/>
        <w:ind w:firstLine="560"/>
        <w:jc w:val="both"/>
      </w:pPr>
      <w:r>
        <w:rPr>
          <w:rFonts w:ascii="Times New Roman" w:hAnsi="Times New Roman" w:eastAsia="仿宋" w:cs="Times New Roman"/>
          <w:b w:val="0"/>
          <w:sz w:val="28"/>
        </w:rPr>
        <w:t>重整方案批准后，安徽国资的投后团队在90天内完成了组织架构调整：新设电池材料事业部，将原服装业务剥离成立独立公司并计划在两年内出售；同时，向杉杉股份注入了其旗下的负极材料研发团队（约30名工程师），并开放了与国资体系内新能源车企的供应渠道。数据显示，重整完成后第一个完整财年，杉杉股份的营收恢复至25亿元，经营性现金流转正（约2亿元），净利润约3亿元，接近业绩对赌的第一阶段目标。国资不仅提供了资金，还带来了管理工具：引入全面预算管理和周经营例会制度，将过去粗放的成本控制转向精细化管理。</w:t>
      </w:r>
    </w:p>
    <w:p>
      <w:pPr>
        <w:spacing w:line="240" w:lineRule="auto"/>
        <w:ind w:firstLine="560"/>
        <w:jc w:val="both"/>
      </w:pPr>
      <w:r>
        <w:rPr>
          <w:rFonts w:ascii="Times New Roman" w:hAnsi="Times New Roman" w:eastAsia="仿宋" w:cs="Times New Roman"/>
          <w:b w:val="0"/>
          <w:sz w:val="28"/>
        </w:rPr>
        <w:t>供应链整合是投后最立竿见影的举措。杉杉股份的原材料采购被纳入国资统一集采平台，借助国资的规模体量，石墨等核心原材料采购成本下降约8%；同时，利用国资信用（安徽国资委下属AAA评级平台）获得银行授信60亿元，利率降低1.5个百分点（从5.5%降至4%），每年节约财务费用约9000万元。此外，国资协调旗下电池企业向杉杉下达了三年2万吨负极材料的框架订单，锁定了未来部分产能。这些优化直接体现在财务报表上，使公司在重整后第一年便恢复了市场信心。</w:t>
      </w:r>
    </w:p>
    <w:p>
      <w:pPr>
        <w:spacing w:line="240" w:lineRule="auto"/>
        <w:ind w:firstLine="560"/>
        <w:jc w:val="both"/>
      </w:pPr>
      <w:r>
        <w:rPr>
          <w:rFonts w:ascii="Times New Roman" w:hAnsi="Times New Roman" w:eastAsia="仿宋" w:cs="Times New Roman"/>
          <w:b w:val="0"/>
          <w:sz w:val="28"/>
        </w:rPr>
        <w:t>人才留存是破产重整中的常见痛点——原团队往往因控制权变更而流失。杉杉股份的核心技术人员（约50人）享受了“股权激励+竞业限制解除”双重保障：每人获得按每股6元计算的期权，行权期为3年，条件是留任满两年；同时，国资承诺不追究原技术人员过去可能存在的竞业限制问题，减少了法律顾虑。离职率控制在5%以下，远低于行业平均水平（约20%）。对于企业家而言，在交易谈判阶段就应要求战略投资人明确投后整合的深度：是仅作为财务投资人，还是深度参与运营？后者需要双方建立融合指挥部，并以月度运营会议推动目标落地。</w:t>
      </w:r>
    </w:p>
    <w:p>
      <w:pPr>
        <w:spacing w:before="160" w:after="80"/>
        <w:ind w:firstLine="200"/>
      </w:pPr>
      <w:r>
        <w:rPr>
          <w:rFonts w:ascii="Times New Roman" w:hAnsi="Times New Roman" w:eastAsia="仿宋" w:cs="Times New Roman"/>
          <w:b/>
          <w:sz w:val="28"/>
        </w:rPr>
        <w:t>五、可复用的破产重整决策框架：五步行动纲领与核心风险警示</w:t>
      </w:r>
    </w:p>
    <w:p>
      <w:pPr>
        <w:spacing w:line="240" w:lineRule="auto"/>
        <w:ind w:firstLine="560"/>
        <w:jc w:val="both"/>
      </w:pPr>
      <w:r>
        <w:rPr>
          <w:rFonts w:ascii="Times New Roman" w:hAnsi="Times New Roman" w:eastAsia="仿宋" w:cs="Times New Roman"/>
          <w:b w:val="0"/>
          <w:sz w:val="28"/>
        </w:rPr>
        <w:t>杉杉股份的案例为企业家在濒临破产时如何引入战略投资者提供了五步行动纲领。第一步，在申请重整前，主动与核心债权人沟通，通过第三方财务模型展示“重整价值&gt;清算价值”的差距，必要时引入临时CFO或专业重组顾问。第二步，选择战略投资者时，优先考虑产业资本而非纯财务资本，并验证其行业资源（如供应链、客户、技术）和长期意愿——安徽国资的锂电产业布局是关键。第三步，设计交易结构时，将支付节奏与经营里程碑挂钩，避免一次性让渡控制权；同时设置双向对赌条款，既约束原管理层也约束买方，防止随意更换团队。</w:t>
      </w:r>
    </w:p>
    <w:p>
      <w:pPr>
        <w:spacing w:line="240" w:lineRule="auto"/>
        <w:ind w:firstLine="560"/>
        <w:jc w:val="both"/>
      </w:pPr>
      <w:r>
        <w:rPr>
          <w:rFonts w:ascii="Times New Roman" w:hAnsi="Times New Roman" w:eastAsia="仿宋" w:cs="Times New Roman"/>
          <w:b w:val="0"/>
          <w:sz w:val="28"/>
        </w:rPr>
        <w:t>第四步，在重整计划中明确原管理层留任条件和退出机制——比如设定三年留任期，并赋予股权激励，避免“人在曹营心在汉”。第五步，投后整合必须设立清晰的路线图：前180天优先稳定债务和供应链（如集中采购、授信重谈），中期（1-3年）实现技术升级和市场份额提升，后期（3-5年）寻求退出或二次融资。杉杉股份虽尚未到完全复兴（第三年业绩对赌尚在进行），但方向已清晰。这五步环环相扣，任何一个环节缺失都可能导致重整功亏一篑。</w:t>
      </w:r>
    </w:p>
    <w:p>
      <w:pPr>
        <w:spacing w:line="240" w:lineRule="auto"/>
        <w:ind w:firstLine="560"/>
        <w:jc w:val="both"/>
      </w:pPr>
      <w:r>
        <w:rPr>
          <w:rFonts w:ascii="Times New Roman" w:hAnsi="Times New Roman" w:eastAsia="仿宋" w:cs="Times New Roman"/>
          <w:b w:val="0"/>
          <w:sz w:val="28"/>
        </w:rPr>
        <w:t>风险警示也同样重要。据公开统计，A股破产重整案例中，约40%在重整后三年内再次陷入困境，主因包括债务回弹（部分债权人后续追索）、整合失败（买方与原团队冲突）或市场环境变化。杉杉股份的成功因素在于：债务减免一步到位（无后续追索）、原管理层未被清洗、国资注入了产业资源而非仅资金。企业家在借鉴此案时，应牢记“先活下来，再谈做强”，避免为了短期报表美化而忽略实质经营改善。同时，重整后的企业文化融合同样重要——杉杉股份通过定期团建和透明沟通机制，降低了国资与民营团队的磨合成本。总之，破产重整既是绝地求生的机会，也是对企业家和战略投资人智慧的双重考验。</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