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买入系统工程能力，而非重资产：罗博特科跨境并购Ficontec的攻防启示</w:t>
      </w:r>
    </w:p>
    <w:p>
      <w:pPr>
        <w:spacing w:line="240" w:lineRule="auto"/>
        <w:ind w:firstLine="560"/>
        <w:jc w:val="both"/>
      </w:pPr>
      <w:r>
        <w:rPr>
          <w:rFonts w:ascii="Times New Roman" w:hAnsi="Times New Roman" w:eastAsia="仿宋" w:cs="Times New Roman"/>
          <w:b w:val="0"/>
          <w:sz w:val="28"/>
        </w:rPr>
        <w:t>硅光技术产业化窗口期极短，技术路线迭代快，并购标的判断失误将导致数亿元商誉减值。罗博特科以约10.8亿元收购德国Ficontec，历时16个月、面临德国政府审查与出口禁令风险，最终完成交割。此案例对上市公司董事长、CEO的核心借鉴在于：并购前必须验证标的的技术路径是否具备产业爆发拐点，交易结构设计能否隔离政治风险，投后管理如何避免工程师文化冲突。以下从战略动因、交易结构、关键假设、整合挑战及决策框架五个维度拆解。</w:t>
      </w:r>
    </w:p>
    <w:p>
      <w:pPr>
        <w:spacing w:before="160" w:after="80"/>
        <w:ind w:firstLine="200"/>
      </w:pPr>
      <w:r>
        <w:rPr>
          <w:rFonts w:ascii="Times New Roman" w:hAnsi="Times New Roman" w:eastAsia="仿宋" w:cs="Times New Roman"/>
          <w:b/>
          <w:sz w:val="28"/>
        </w:rPr>
        <w:t>一、硅光产业化拐点是买家必须验证的第一假设，而非标的当前利润</w:t>
      </w:r>
    </w:p>
    <w:p>
      <w:pPr>
        <w:spacing w:line="240" w:lineRule="auto"/>
        <w:ind w:firstLine="560"/>
        <w:jc w:val="both"/>
      </w:pPr>
      <w:r>
        <w:rPr>
          <w:rFonts w:ascii="Times New Roman" w:hAnsi="Times New Roman" w:eastAsia="仿宋" w:cs="Times New Roman"/>
          <w:b w:val="0"/>
          <w:sz w:val="28"/>
        </w:rPr>
        <w:t>2023年，罗博特科启动收购Ficontec时，后者仍处于亏损状态。并购前，罗博特科核心判断是：硅光技术将在2025年前后进入规模量产阶段，而全球能提供硅光芯片高精度封装测试设备的厂商不超过三家。Ficontec作为其中唯一独立设备商，其技术壁垒在于将光波导对准精度从微米级提升至纳米级的系统工程能力，而非单纯的光学或机械制造。据公开资料，Ficontec在2022年实现营业收入约3.2亿元，净利润约-0.8亿元，但订单金额已超过5亿元，表明产品已获得头部客户试用认可。这一订单与营收的剪刀差，是判断产业化拐点的关键信号，而非当期损益。</w:t>
      </w:r>
    </w:p>
    <w:p>
      <w:pPr>
        <w:spacing w:line="240" w:lineRule="auto"/>
        <w:ind w:firstLine="560"/>
        <w:jc w:val="both"/>
      </w:pPr>
      <w:r>
        <w:rPr>
          <w:rFonts w:ascii="Times New Roman" w:hAnsi="Times New Roman" w:eastAsia="仿宋" w:cs="Times New Roman"/>
          <w:b w:val="0"/>
          <w:sz w:val="28"/>
        </w:rPr>
        <w:t>买方在决策前必须区分“技术储备”与“产业化拐点”。罗博特科做了三件事：一是调研光模块厂商的新一代产品 roadmap，确认800G/1.6T模块对硅光封装设备的刚需；二是派工程师团队驻点Ficontec德国工厂，实测设备运行效率与良率，验证其纳米级对准技术在实际产线中的稳定性；三是对标竞争对手（如日本Hamamatsu、瑞士Besi）的技术差距，确认Ficontec在自动化和高精度的耦合封装环节具有约五年以上的领先窗口期。并购前，这些验证远比标的的历史财务报表更重要。</w:t>
      </w:r>
    </w:p>
    <w:p>
      <w:pPr>
        <w:spacing w:line="240" w:lineRule="auto"/>
        <w:ind w:firstLine="560"/>
        <w:jc w:val="both"/>
      </w:pPr>
      <w:r>
        <w:rPr>
          <w:rFonts w:ascii="Times New Roman" w:hAnsi="Times New Roman" w:eastAsia="仿宋" w:cs="Times New Roman"/>
          <w:b w:val="0"/>
          <w:sz w:val="28"/>
        </w:rPr>
        <w:t>进一步地，罗博特科还验证了技术路线的不可替代性。硅光工艺中，光纤与芯片的耦合精度直接决定光模块性能，传统机械对准设备无法满足400G以上速率的要求，而Ficontec的主动对准技术通过视觉和算法实时调整，将损耗降至最低。罗博特科的工程团队在德国实验室连续工作了三个月，用交叉验证法确认了设备在多家客户的实测结果。启示：中国科技企业跨境并购时，若标的处于盈利前夜，管理层应主动构建“拐点时间轴”，明确技术量产的关键节点和订单能见度。任何偏离产业周期的估值模型，都可能在交割后迅速崩塌。</w:t>
      </w:r>
    </w:p>
    <w:p>
      <w:pPr>
        <w:spacing w:before="160" w:after="80"/>
        <w:ind w:firstLine="200"/>
      </w:pPr>
      <w:r>
        <w:rPr>
          <w:rFonts w:ascii="Times New Roman" w:hAnsi="Times New Roman" w:eastAsia="仿宋" w:cs="Times New Roman"/>
          <w:b/>
          <w:sz w:val="28"/>
        </w:rPr>
        <w:t>二、交易结构需内置“政治风险隔离”：现金+股份组合与德国审查的博弈</w:t>
      </w:r>
    </w:p>
    <w:p>
      <w:pPr>
        <w:spacing w:line="240" w:lineRule="auto"/>
        <w:ind w:firstLine="560"/>
        <w:jc w:val="both"/>
      </w:pPr>
      <w:r>
        <w:rPr>
          <w:rFonts w:ascii="Times New Roman" w:hAnsi="Times New Roman" w:eastAsia="仿宋" w:cs="Times New Roman"/>
          <w:b w:val="0"/>
          <w:sz w:val="28"/>
        </w:rPr>
        <w:t>Ficontec位于德国，属于敏感技术领域，在英飞凌和博世等德国工业巨头的主导下，任何涉及中国资本收购光电核心技术的交易都面临严格审查。罗博特科在交易结构设计上采用了“现金+股份”支付：现金对价约4.5亿元，股份对价约6.3亿元，这一组合避免了全现金支付可能触发的德国更严厉的资本外流审查，同时让卖方股东持有上市公司股份，以利益绑定降低其抵制整合的动机。交易前，罗博特科将Ficontec的德国公司股权架构调整为“中间层控股+德国子公司”模式，即通过在卢森堡设立特殊目的公司（SPV）间接持有德国运营公司，使交易主体在法律形式上定义为“中国企业收购德国子公司”，而非“德国公司控制权变更”，以降低德国经济部干预的概率。</w:t>
      </w:r>
    </w:p>
    <w:p>
      <w:pPr>
        <w:spacing w:line="240" w:lineRule="auto"/>
        <w:ind w:firstLine="560"/>
        <w:jc w:val="both"/>
      </w:pPr>
      <w:r>
        <w:rPr>
          <w:rFonts w:ascii="Times New Roman" w:hAnsi="Times New Roman" w:eastAsia="仿宋" w:cs="Times New Roman"/>
          <w:b w:val="0"/>
          <w:sz w:val="28"/>
        </w:rPr>
        <w:t>尽管如此，审查仍历时16个月。罗博特科董事长戴军亲自参与多轮答辩，向德国经济部承诺：保留Ficontec德国研发中心和核心团队至少5年，不转移关键技术至中国，同时承诺履行为期一年的“技术隔离期”。交易条款中值得复制的是“分手费”设计：若因德国政府否决导致交易失败，罗博特科仅需支付约2亿元分手费（占对价约19%），避免了对价全额损失。此外，罗博特科在收购协议中嵌入“监管风险分担条款”，要求卖方配合尽最大努力通过审查，否则递减赔偿。这些安排将地缘政治风险从买方转移至卖方，降低了上市公司股东的风险敞口。</w:t>
      </w:r>
    </w:p>
    <w:p>
      <w:pPr>
        <w:spacing w:line="240" w:lineRule="auto"/>
        <w:ind w:firstLine="560"/>
        <w:jc w:val="both"/>
      </w:pPr>
      <w:r>
        <w:rPr>
          <w:rFonts w:ascii="Times New Roman" w:hAnsi="Times New Roman" w:eastAsia="仿宋" w:cs="Times New Roman"/>
          <w:b w:val="0"/>
          <w:sz w:val="28"/>
        </w:rPr>
        <w:t>跨境并购中最常被低估的是政治审查的耗时与成本。罗博特科的经验表明：交割前必须预留6-12个月缓冲期，并在交易文件中明确“不可抗力”边界和“最努力条款”的具体执行标准。对于涉及半导体、人工智能等敏感领域的标的，优先选择“反向分手费”较低的结构，并提前向中国发改委、商务部备案，避免双重审查压力。此外，在交易结构中加入“托管账户”或“第三方存管”机制，可以防止因审查拖延导致的资金占用问题。</w:t>
      </w:r>
    </w:p>
    <w:p>
      <w:pPr>
        <w:spacing w:before="160" w:after="80"/>
        <w:ind w:firstLine="200"/>
      </w:pPr>
      <w:r>
        <w:rPr>
          <w:rFonts w:ascii="Times New Roman" w:hAnsi="Times New Roman" w:eastAsia="仿宋" w:cs="Times New Roman"/>
          <w:b/>
          <w:sz w:val="28"/>
        </w:rPr>
        <w:t>三、核心假设必须裸检：技术路线兼容性、客户集中度与商誉减值压力</w:t>
      </w:r>
    </w:p>
    <w:p>
      <w:pPr>
        <w:spacing w:line="240" w:lineRule="auto"/>
        <w:ind w:firstLine="560"/>
        <w:jc w:val="both"/>
      </w:pPr>
      <w:r>
        <w:rPr>
          <w:rFonts w:ascii="Times New Roman" w:hAnsi="Times New Roman" w:eastAsia="仿宋" w:cs="Times New Roman"/>
          <w:b w:val="0"/>
          <w:sz w:val="28"/>
        </w:rPr>
        <w:t>罗博特科收购Ficontec的估值基于两重假设：一是硅光设备市场规模2026年达50亿元，Ficontec市场份额保守估计30%；二是Ficontec技术能与罗博特科现有自动化产线结合，产生协同利润。但这两项假设均需在交割前进行压力测试。例如，若硅光技术被3D封装或VCSEL路线替代，设备需求可能萎缩。罗博特科委托第三方机构做了技术路线对比，结论是硅光在400G以上速率不可替代，但同时也确认了若CPO（共封装光学）方案成熟，原有设备仍需升级改造。这种“二阶假设”验证直接影响了估值倍数——最终PS倍数约3.4倍（基于2022年营收约3.2亿元），处于设备行业合理区间。</w:t>
      </w:r>
    </w:p>
    <w:p>
      <w:pPr>
        <w:spacing w:line="240" w:lineRule="auto"/>
        <w:ind w:firstLine="560"/>
        <w:jc w:val="both"/>
      </w:pPr>
      <w:r>
        <w:rPr>
          <w:rFonts w:ascii="Times New Roman" w:hAnsi="Times New Roman" w:eastAsia="仿宋" w:cs="Times New Roman"/>
          <w:b w:val="0"/>
          <w:sz w:val="28"/>
        </w:rPr>
        <w:t>客户集中度是另一个风险点。据公告披露，Ficontec前五大客户占比超过80%，其中最大客户为一家美国光模块龙头。若中美贸易摩擦升级，该客户可能切换供应商。罗博特科在尽调时要求卖方提供客户长期框架协议，并约定若主要客户流失，卖方需补偿部分对价。同时，在投后整合计划中，罗博特科立即启动将Ficontec设备导入国内光模块厂商（如中际旭创、新易盛）的测试，以分散客户风险。截至2024年末，Ficontec已向三家中国客户交付了验证样机，虽然尚未大批量供货，但客户粘性初步建立。</w:t>
      </w:r>
    </w:p>
    <w:p>
      <w:pPr>
        <w:spacing w:line="240" w:lineRule="auto"/>
        <w:ind w:firstLine="560"/>
        <w:jc w:val="both"/>
      </w:pPr>
      <w:r>
        <w:rPr>
          <w:rFonts w:ascii="Times New Roman" w:hAnsi="Times New Roman" w:eastAsia="仿宋" w:cs="Times New Roman"/>
          <w:b w:val="0"/>
          <w:sz w:val="28"/>
        </w:rPr>
        <w:t>商誉减值压力是并购后的常见问题。根据搜狐网报道，截至2025年，罗博特科因行业竞争加剧及暂未量产，商誉余额已升至约16.6亿元，占净资产比例超过80%，属于高危水平。若业绩不达预期，减值将直接冲击利润表。并购前，董事会应审议商誉占净资产比例的上限，并设置“业绩对赌”条件。但需注意对赌可能导致管理层短视，反而破坏长期技术研发。因此，更优的方案是采用“ Earn-out ”机制，将部分对价与未来收入或技术里程碑挂钩，既保护买方利益，又激励卖方团队。</w:t>
      </w:r>
    </w:p>
    <w:p>
      <w:pPr>
        <w:spacing w:before="160" w:after="80"/>
        <w:ind w:firstLine="200"/>
      </w:pPr>
      <w:r>
        <w:rPr>
          <w:rFonts w:ascii="Times New Roman" w:hAnsi="Times New Roman" w:eastAsia="仿宋" w:cs="Times New Roman"/>
          <w:b/>
          <w:sz w:val="28"/>
        </w:rPr>
        <w:t>四、投后承接的核心是“工程师文化融合”而非仅仅是资产交割</w:t>
      </w:r>
    </w:p>
    <w:p>
      <w:pPr>
        <w:spacing w:line="240" w:lineRule="auto"/>
        <w:ind w:firstLine="560"/>
        <w:jc w:val="both"/>
      </w:pPr>
      <w:r>
        <w:rPr>
          <w:rFonts w:ascii="Times New Roman" w:hAnsi="Times New Roman" w:eastAsia="仿宋" w:cs="Times New Roman"/>
          <w:b w:val="0"/>
          <w:sz w:val="28"/>
        </w:rPr>
        <w:t>交割不是终点，而是整合起点。罗博特科在完成Ficontec收购后，面临的最大挑战是德国工程师团队与中国管理层的文化冲突。德国团队习惯高自主性、拒绝流程冗余，而中国上市公司要求定期报告与预算控制。罗博特科的做法是：保留Ficontec原有CEO和技术VP，不派驻中方高管，仅增加一名中方财务总监和一位联席CTO（负责技术协同）。在管理会议上，中方高管全程用英语沟通，避免“母公司中心主义”。此外，罗博特科在德国设立了一个“融合委员会”，每月召开一次由双方核心成员参加的战略对齐会，讨论研发优先级和客户开拓计划。</w:t>
      </w:r>
    </w:p>
    <w:p>
      <w:pPr>
        <w:spacing w:line="240" w:lineRule="auto"/>
        <w:ind w:firstLine="560"/>
        <w:jc w:val="both"/>
      </w:pPr>
      <w:r>
        <w:rPr>
          <w:rFonts w:ascii="Times New Roman" w:hAnsi="Times New Roman" w:eastAsia="仿宋" w:cs="Times New Roman"/>
          <w:b w:val="0"/>
          <w:sz w:val="28"/>
        </w:rPr>
        <w:t>整合成败的另一个指标是研发协同效率。罗博特科将Ficontec的德国研发中心定位为“全球技术中台”，中国团队负责辅助零部件采购和系统集成。通过每周技术对接会，双方工程师共同开发针对国产光模块厂商的定制化方案，半年内将设备调试周期从6周缩短至3周。2024年，Ficontec开始向国内头部光模块企业小批量供货，验证了技术承接的初步成功。但文化融合并非一帆风顺：最初三个月，德国工程师对中国的“996”节奏强烈抵触，中方管理层不得不调整考核方式，改为以项目里程碑而非工作时长衡量绩效。</w:t>
      </w:r>
    </w:p>
    <w:p>
      <w:pPr>
        <w:spacing w:line="240" w:lineRule="auto"/>
        <w:ind w:firstLine="560"/>
        <w:jc w:val="both"/>
      </w:pPr>
      <w:r>
        <w:rPr>
          <w:rFonts w:ascii="Times New Roman" w:hAnsi="Times New Roman" w:eastAsia="仿宋" w:cs="Times New Roman"/>
          <w:b w:val="0"/>
          <w:sz w:val="28"/>
        </w:rPr>
        <w:t>但商誉悬顶的阴影未散。若硅光产业化进度慢于预期，或竞争对手推出更低成本的解决方案，Ficontec的营收可能无法覆盖折旧和摊销，导致减值。因此，交割后应建立“季度健康度仪表盘”，监控订单转化率、研发里程碑、毛利率变动及客户集中度。一旦实际数字偏离并购假设20%以上，必须启动预警机制，调整产能扩张节奏或主动处置非核心资产。罗博特科在2025年已开始收缩非核心设备的研发项目，将资源聚焦于高毛利的硅光封装设备，这是应对整合风险的务实之举。</w:t>
      </w:r>
    </w:p>
    <w:p>
      <w:pPr>
        <w:spacing w:before="160" w:after="80"/>
        <w:ind w:firstLine="200"/>
      </w:pPr>
      <w:r>
        <w:rPr>
          <w:rFonts w:ascii="Times New Roman" w:hAnsi="Times New Roman" w:eastAsia="仿宋" w:cs="Times New Roman"/>
          <w:b/>
          <w:sz w:val="28"/>
        </w:rPr>
        <w:t>五、可复用的决策框架：从战略意图到退出通道的闭环设计</w:t>
      </w:r>
    </w:p>
    <w:p>
      <w:pPr>
        <w:spacing w:line="240" w:lineRule="auto"/>
        <w:ind w:firstLine="560"/>
        <w:jc w:val="both"/>
      </w:pPr>
      <w:r>
        <w:rPr>
          <w:rFonts w:ascii="Times New Roman" w:hAnsi="Times New Roman" w:eastAsia="仿宋" w:cs="Times New Roman"/>
          <w:b w:val="0"/>
          <w:sz w:val="28"/>
        </w:rPr>
        <w:t>总结罗博特科案例，我们可以提炼四个步骤作为中国企业家跨境并购的决策框架。第一步，确立“技术杠杆型”标的筛选标准：优选那些能填补国内产业空白、且自身具备独立存活能力的“小而美”企业，而非依赖单一客户或技术路线的“赌注型”公司。Ficontec在收购前已获得多家全球头部客户的验证订单，这种“技术吸引力”是判断能否实现杠杆效应的基础。第二步，设计“双层税务+法律”结构：通过卢森堡SPV持有德国运营公司，降低预提税和欧盟反垄断风险，同时规避德国政府对中国直接投资的过度审查。第三步，在交易文件中嵌入“地理政治风险条款”，包括反向分手费、政府审查合理努力义务、以及技术转移限制条款。罗博特科承诺五年内不转移核心技术，虽限制了短期协同，但为交易过关赢得了空间。</w:t>
      </w:r>
    </w:p>
    <w:p>
      <w:pPr>
        <w:spacing w:line="240" w:lineRule="auto"/>
        <w:ind w:firstLine="560"/>
        <w:jc w:val="both"/>
      </w:pPr>
      <w:r>
        <w:rPr>
          <w:rFonts w:ascii="Times New Roman" w:hAnsi="Times New Roman" w:eastAsia="仿宋" w:cs="Times New Roman"/>
          <w:b w:val="0"/>
          <w:sz w:val="28"/>
        </w:rPr>
        <w:t>第四步，规划退出通道：罗博特科在收购后推动Ficontec在港交所上市，2026年递表，旨在通过二级市场实现价值重估，为商誉减值提供对冲。根据招股书数据，Ficontec在全球硅光智能制造设备市场排名第一，市场份额约35%，但2025年净利润亏损，主要源于高额研发投入和客户导入期的成本。对于其他产业集团，并购后应同步考虑：若标的未来无法独立IPO或与母公司产生协同，是否能在3-5年内通过出售给战略买家退出？提前规划退出通道能倒逼管理层更理性地评估估值，避免为“想象空间”支付过高溢价。</w:t>
      </w:r>
    </w:p>
    <w:p>
      <w:pPr>
        <w:spacing w:line="240" w:lineRule="auto"/>
        <w:ind w:firstLine="560"/>
        <w:jc w:val="both"/>
      </w:pPr>
      <w:r>
        <w:rPr>
          <w:rFonts w:ascii="Times New Roman" w:hAnsi="Times New Roman" w:eastAsia="仿宋" w:cs="Times New Roman"/>
          <w:b w:val="0"/>
          <w:sz w:val="28"/>
        </w:rPr>
        <w:t>最终，所有并购决策都可以还原为三个问题：我们比目标更懂技术吗？我们能在文化冲突中保留核心人才吗？我们为最坏情景准备了现金和制度缓冲？罗博特科的回答是“是”，但并非每家公司都能如此。跨境并购没有万能公式，只有基于产业深刻认知的持续验证。对于董事长和CEO，上述决策框架可作为内部研讨的起点，但每个交易都需要根据具体的技术路线、地域监管和自身整合能力进行定制化调整。</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