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 w:cs="Times New Roman"/>
          <w:b w:val="0"/>
          <w:sz w:val="30"/>
        </w:rPr>
        <w:t>分步全资与本土化重组：美的收购库卡如何应对战略协同与整合挑战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对于正在寻找产业升级切入点的制造业上市公司董事长与CEO而言，美的集团收购德国库卡（KUKA）是一面多棱镜。它既展示了通过跨境并购获取核心技术、切入机器人与自动化赛道的路径，也暴露出战略假设偏差、监管约束与投后文化冲突的代价。美的从2016年发起部分要约，到2022年完成100%私有化，总投资约300亿元人民币，期间经历了库卡利润暴跌、管理层动荡、商誉减值压力，最终通过本土化运营与业务重组实现协同。这一案例的核心启示在于：并购前必须验证标的的真实盈利驱动因素，交易结构需要为投后整合预留弹性，而交割后的管理权承接与业务融合才是价值创造的关键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一、买入的核心逻辑：从家电制造到自动化平台的战略跃迁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美的集团在2016年发起对德国库卡的要约收购时，正处于传统家电业务增速放缓、净利润率不足10%的转型节点。当时中国家电行业已进入存量竞争，美的自身营收中约60%来自空调、冰箱等白电，但利润增长依赖规模扩张的空间越来越小。与此同时，中国制造业面临人力成本上升与自动化需求爆发的双重压力，工业机器人安装量从2012年的2.3万台增长至2015年的7.6万台，年均增长约35%。美的的战略逻辑是：通过收购库卡，直接获得工业机器人本体、控制器和系统集成能力，并将该技术应用于美的自身的工厂改造，降低生产成本，同时借助库卡的品牌与全球渠道进入自动化市场，打造第二增长曲线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库卡是全球四大工业机器人制造商之一，与ABB、发那科、安川并称，在汽车焊接、物流自动化领域有深厚积累。根据公告披露，库卡2015年营收约30亿欧元，净利润约1.5亿欧元，息税前利润率约5%。其客户包括大众、宝马、奔驰等全球车企，汽车行业收入占比超过60%。美的的战略假设是：库卡的业务可以跟随全球自动化投资增长，年增速约10%，且在中国市场有巨大渗透空间。但这一假设存在两个关键需要验证的点：一是库卡的利润增长对汽车行业投资周期高度敏感，二是技术协同是否能快速转化为美的自身生产效率的提升。实际上，2016年之后全球汽车行业投资波动剧烈，库卡的业绩表现印证了周期风险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此外，美的当时自身的机器人业务尚处于起步阶段，2015年设立机器人部门，但主要依靠系统集成和代理销售，缺乏核心技术。收购库卡可以补齐技术短板，使美的在机器人产业链上从“组装”跃迁至“制造+系统集成”。美的董事长方洪波在内部曾表示，收购库卡不是简单地买一家公司，而是为美的未来的智能制造业奠定基础。这种战略意图反映在估值上：每股115欧元的要约价对应约40%的溢价，基于2015年净利润的市盈率约25倍，低于当时同行业可比公司30倍以上的水平，看似合理，但并未充分考虑投后整合的复杂度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二、交易结构设计：部分要约、分步增持与监管妥协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美的没有选择一次性100%收购，而是采取“部分要约+分步增持”的结构，这既考虑了资金压力，也回应了德国监管与工会的担忧。2016年5月，美的宣布以每股115欧元要约收购库卡约30%股权，目标获得控股权。当时库卡前三大股东分别是德国工业集团福伊特（持25.1%）、中国投资平台清控科创（持约10%）和加拿大安大略教师退休基金（持约9%），合计持有约44%股份。美的通过游说与协议，最终获得福伊特同意出售其全部股份，并在2016年8月完成要约，持股比例升至94.55%，总对价约37亿欧元（约合292亿人民币）。为通过德国联邦经济事务和能源部的外商投资审查，美的主动签订了一系列约束性承诺：保持库卡独立性，不关闭任何德国工厂，不强制裁员至2023年，不改变技术转让与知识产权保护安排，且在2023年前不签订控制协议（即不进行财务合并）。这些承诺极大地限制了美的在交割后的管理权限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交易资金来源上，美的使用了自有资金与银团贷款。根据公告，美的2016年一季度末货币资金约180亿元人民币，加上约50亿欧元（约合370亿人民币）的银行授信，融资能力充足。交易对价中约80%为现金，20%为债务。值得注意的是，美的在要约前已通过持股约10%的间接方式与库卡建立联系，降低了信息不对称。要约成功后，美的通过公开市场继续小幅增持，2017年底持股比例升至95%以上。2021年11月，美的宣布以80.77欧元/股私有化剩余5.45%股份，总对价约1.5亿欧元（约10.6亿人民币），2022年11月完成全部交割，实现100%控股。至此，美的累计为库卡支付超过300亿元人民币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这一分步交易结构的关键启示在于：对于监管敏感资产，部分要约加长期承诺是可行路径。但买家在估值时必须将监管限制视为一种隐性成本。美的在初次收购后长达六年的时间内，无法完全行使股东管理权，导致业务整合决策受限。例如，库卡德国工厂的人工成本占收入比超过30%，而美的直到私有化后才得以推动产线外迁与本地化。交易结构设计应包含“监管保护期”后的管理权恢复条款，或通过财务指标触发调整承诺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三、投后整合的落差：利润暴跌、管理层动荡与商誉压力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交割后的整合并未如预期顺利。2017年，库卡营收约34亿欧元，较2015年增长约13%，但净利润仅约1.1亿欧元，同比下降约27%。2018年营收稳定在33亿欧元，净利润进一步下滑至0.8亿欧元。2019年受全球经济放缓和汽车行业下行影响，库卡营收跌至31亿欧元，净利润暴跌八成至约0.2亿欧元。利润暴跌的背后，既有宏观经济周期因素，也有整合摩擦。美的承诺不裁员至2023年，导致德国工厂人工成本刚性，而同期库卡收入增速放缓，固定成本难以消化。德国工会与监事会制度也限制了业务重组：例如，美的希望将部分产能转移至中国以降低成本，但遭到工会强烈反对，认为违反承诺。管理层方面，库卡原CEO蒂尔·罗伊特（Till Reuter）在2018年因“与股东理念不合”辞职，接任者格哈德·齐默（Gerhard Zimmer）上任后推动成本削减，包括裁员数百人（在承诺期限前无法实施大规模裁员），但效果有限。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财务层面，美的2016年收购产生的商誉高达约60亿元人民币（折合约8亿欧元），对应约2倍市净率溢价。库卡业绩恶化直接带来商誉减值风险。2019年，美的对库卡商誉计提减值约4.5亿元（折合约0.6亿欧元），2020年疫情冲击下再次减值约2.8亿元。减值压力持续到2021年，累计减值金额超过10亿元。即便如此，截至2022年半年报，美的商誉余额仍超过50亿元人民币，库卡相关占比超过60%。这一阶段表明，跨境并购中“不干预承诺”实质是双刃剑：它降低了监管风险，却让投后管理陷入被动。对于买方而言，应预先评估承诺期限内的业绩弹性，并在估值中引入“无干预情景”下的保守预测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此外，文化冲突也凸显。德国媒体曾报道，库卡高层认为美的对技术研发的理解不足，而美的则认为库卡管理层缺乏对成本控制的重视。2018年库卡总裁辞职后，美的派出的中国董事与德国管理层之间沟通不畅。2019年，德国媒体报道称“库卡出了问题”，利润下滑引发股东不满。美的不得不在2019年底更换部分高管，并引入中国籍管理人员担任库卡中国区负责人，但德国总部仍由本地人主导。这反映出，跨境并购中管理权的过渡需要更系统的“文化适配”设计，包括共同的目标设定、激励兼容的薪酬结构以及渐进的权力转移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四、本土化运营破局：私有化、管理层重组与资源嫁接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2021年底，美的宣布私有化库卡剩余股份，2022年11月完成全资控股。私有化后，美的获得了完全的管理控制权，不再受限于此前的不控制协议。随即，美的加速推进库卡的本土化运营。首先，变更管理层结构：任命中国人王辉（原美的机器人业务负责人）为库卡中国区CEO，同时调整德国总部管理层，将研发、供应链和销售决策权更多下放至中国区。德国总部CEO由蒂尔·罗伊特时代的继任者齐默继续担任至2022年，随后由一位具有亚洲经验的经理人接任，但实际运营重心已转向中国。其次，将库卡的中高端机器人生产线引入中国。根据公告，2022年库卡约一半的生产在中国完成，主要在中国顺德工厂组装机器人，并针对中国市场开发性价比更高的产品。这不仅降低了制造成本（中国工厂人工成本约为德国的1/4），也缩短了交货周期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业务协同方面，美的推动库卡与自身家电制造体系的整合。美的的空调、洗衣机等生产线大量采用了库卡机器人进行自动化改造，据美的官方披露，截至2022年，美的工厂累计使用的机器人超过3000台，其中约半数来自库卡。同时，库卡为美的的物流板块（安得智联）提供自动导引车（AGV）和仓储解决方案。对外方面，库卡在中国的销售依托美的的渠道网络，2022年库卡中国区收入同比增长超过30%，占全球收入比例提升至约25%。重组后的财务效果逐步显现：2022年库卡营收约264亿元人民币（约合37亿欧元），同比增长超过10%，并实现扭亏为盈。2023年一季度，库卡中国区收入继续增长，全年预计收入超过280亿元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这一阶段的经验是：跨境并购中，私有化或取得全面控制权往往是释放协同价值的必要条件，但前提是买方具备全球运营能力和产业整合经验。美的在收购前已在中国积累了强大的制造与渠道资源，这使得本土化并非从零开始，而是将库卡的技术嵌入自身供应链。对于其他制造业企业而言，并购海外技术资产时，应评估自身是否具备“承接平台”：即能否提供足够大的下游需求、低成本的生产基地以及高效的销售网络。如果没有，单纯依靠海外标的自身增长可能难以覆盖并购产生的资本成本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五、可复用的管理启示：阶段人、财务假设与整合节奏的控制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美的收购库卡案例为上市公司CEO提供了三个具体可操作的经验。第一，并购前应验证标的利润的周期敏感性和结构性驱动因素。美的在收购时假设库卡能实现稳定的中个位数增长（约8-10%），但实际受汽车行业投资周期冲击明显：2016-2019年全球汽车资本支出增速从6%降至2%以下，库卡收入增速从13%降至-3%。此外，德国高人工成本（占收入比超过30%）限制了盈利弹性。并购前应通过敏感性分析测试标的在周期性低谷的现金流状况，并与收购时的债务负担进行匹配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/>
          <w:sz w:val="28"/>
        </w:rPr>
        <w:t>第二，交易条款应锁定投后管理的弹性空间。</w:t>
      </w:r>
      <w:r>
        <w:rPr>
          <w:rFonts w:ascii="Times New Roman" w:hAnsi="Times New Roman" w:eastAsia="仿宋" w:cs="Times New Roman"/>
          <w:b w:val="0"/>
          <w:sz w:val="28"/>
        </w:rPr>
        <w:t>美的的“维持现状”承诺是获取监管批准的必要代价，但在估值定价时应将这种限制作为风险折价，例如将承诺期内的自由现金流预测下调20%-30%，并设置业绩补偿条款。实际交易中，美的未能设置此类条款，导致承诺期内无法通过裁员或调产来应对业绩下滑。对于未来跨境交易，建议在投资保护协议中加入“安全港”条款：若标的业绩低于阈值，买方有权提前解除部分承诺，或要求出售方提供补偿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/>
          <w:sz w:val="28"/>
        </w:rPr>
        <w:t>第三，交割后应建立“本土化+激励兼容”的整合机制。</w:t>
      </w:r>
      <w:r>
        <w:rPr>
          <w:rFonts w:ascii="Times New Roman" w:hAnsi="Times New Roman" w:eastAsia="仿宋" w:cs="Times New Roman"/>
          <w:b w:val="0"/>
          <w:sz w:val="28"/>
        </w:rPr>
        <w:t>库卡早期的亏损并非技术不行，而是成本结构和决策效率问题。美的通过将产线移至中国、更换本地化管理层、设立利润导向的考核指标，最终使资产回归正常盈利。具体操作上，应设立明确的整合里程碑：例如交割后12个月内完成管理层本土化调整，24个月内实现成本优化目标，36个月内达成协同收入目标。此外，商誉减值的管理同样值得关注：买方在估值模型中不应将协同效应过度资本化，而应保留足够的缓冲。例如，美的收购时商誉占交易对价的比例约20%，但在2019-2020年减值后仍然偏高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对于计划类似跨境收购的企业家，一个更根本的教训是：工业机器人等硬科技资产的并购，成功与否不取决于买入时的价格，而取决于买入后是否有能力重塑其成本结构与市场定位。美的用了六年、付出了超过300亿元的总代价，才完成从“控股但不控制”到“全资且主导”的转变。这个过程的代价，恰恰是交易前最容易忽视的隐性成本。对于资产方来说，分步收购本身是降低风险的手段，但必须辅之以清晰的“控制权临界点”策略，即何时应该放弃保护承诺，换取管理效率。此外，不要低估工会和监管的约束力——在收购前就该准备好替代方案，例如若无法获得全面控制，是否仍值得投资？美的收购库卡最终证明值得，但并非所有企业都能承受长达六年的整合阵痛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ind w:firstLine="560"/>
      <w:jc w:val="both"/>
    </w:pPr>
    <w:rPr>
      <w:rFonts w:ascii="Times New Roman" w:hAnsi="Times New Roman" w:eastAsia="仿宋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