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跨境并购的隐性成本：西部水泥全资收购南非Afri Sam的审批壁垒与本地化承接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对于计划通过跨境并购进入新兴市场的中国上市公司董事长和CEO，西部水泥拟全资收购南非Afri Sam的交易提供了关键决策框架：标的的真正价值在于市场渠道和本地运营体系，而非固定资产；交易结构必须锁定南非审批风险和汇率敞口；投后整合的核心是赢得本地信任，而非复制国内模式。本报告从并购前标的评估、交易结构设计、投后整合三个维度拆解此案例，强调买方必须验证现金流假设、审批可预见性和管理层留任意愿，否则交易可能因隐性成本失控而失败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一、标的的战略价值不在产能，而在南部非洲的渠道网络与市场准入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西部水泥（02233.HK）是中国西北水泥龙头，近年积极海外扩张。2026年4月，公司公告拟全资收购南非水泥企业Afri Sam（Afri Sam Holdings）。据公开信息，Afri Sam拥有熟料产能约200万吨，水泥粉磨产能约300万吨，以及骨料和混凝土业务。但真正吸引西部水泥的不是这些产能——中国水泥企业拥有全球领先的万吨级生产线，非洲旧窑线在成本上不可比。标的的核心价值在于：占据南非水泥市场约15%的份额，拥有覆盖南非、津巴布韦、博茨瓦纳、莫桑比克的销售网络和物流设施，包括铁路专用线、散装码头和多处中转库。此外，Afri Sam品牌在当地建筑商和政府采购中信誉良好。此类跨境并购，买方必须认识到：大部分对价是在为市场准入和本地化运营能力买单，而非物理资产。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估值方面，公告未披露具体对价。参考近年非洲水泥资产交易（如华新水泥2023年收购坦桑尼亚水泥厂，吨产能估值约80-100美元），按300万吨产能估算，Afri Sam整体企业价值可能在2.5亿至3亿美元之间。西部水泥还需承接原有债务并支付溢价。据市场传闻，交易可能为现金加部分银行融资。西部水泥账面现金约15亿人民币（约2亿美元），大概率需外部融资。并购前应验证：标的公司的EBITDA利润率是否稳定在20%以上？扣除偿债后的自由现金流能否覆盖未来两年资本开支？只有通过压力测试，才能避免高杠杆拖累母公司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非洲并购常见暗雷包括采矿权续期和土地权属。尽调应核查：采矿权是否临近续签，续期条件是否要求本地股权或社区承诺；土地使用权是永久产权还是租赁；是否存在原住民索赔。同时评估环保合规记录——若有赤道原则银行参与融资，环评漏洞直接导致贷款失败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二、交易结构必须锁定南非审批与兰特汇率双重风险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跨境并购的交易结构关键在于将不确定性锁定为条款。对西部水泥，最大风险是南非监管审批。南非竞争委员会对水泥并购历来严格，2017年曾否决某外资收购，理由为市场集中度上升。Afri Sam占约15%份额，交易可能触发反垄断挑战。条款中应包含反向分手费：若因审批失败，卖方支付对价1-3%的分手费，弥补买方前期成本。更优方案是将审批与付款节奏挂钩：首笔款项在获得竞争委员会和矿产部“无异议函”后方可支付，后续款项分期与交割里程碑绑定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汇率风险必须锁定。南非兰特对美元年化波动率超15%。若对价以美元计价，西部水泥融资来源为人民币，人民币贬值将推高实际成本。建议签约时同步签订远期结汇或货币互换，锁定至少70%对价。标的公司营收以兰特计价，但电力（南非ESKOM电价年涨超10%）和煤炭成本受汇率影响小，利润对兰特贬值敏感。财务模型应假设兰特年贬值5-10%，并测试极端贬值20%时的现金流。这些压力测试结果应纳入估值折价，或通过盈利支付条款（Earn-out）对冲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管理层留任和竞业禁止是另一关键。非洲商业依赖个人关系，原管理层若流失，渠道和客户可能迅速丧失。条款应锁定核心高管留任至少三年，配置与业绩挂钩的递延激励。竞业禁止覆盖南部非洲，期限不少于三年。同时评估工会态度，提前与工会代表沟通，避免交割后因裁员或调薪引发罢工。西部水泥公告“保留现有管理层”，表明已意识到人才留存的重要性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三、投后承接的核心是“保留本地团队，注入中国效率”，而非强推国内模式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中资企业海外并购常见错误是照搬国内管理模式。非洲水泥市场袋装占比超70%，运输成本极高。若西部水泥强行关闭Afri Sam老旧生产线，改用中国熟料当地粉磨，可能因物流中断丢失份额。合理策略是“双轨制”：保留分销网络、袋装品牌和工程客户关系，同时引入中国余热发电、矿山数字化、集中采购，降低生产成本。初始阶段只派财务和采购总监，运营层全部留任，通过管理报告系统实现透明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产能整合方面，Afri Sam部分粉磨站老化高耗能。交割后优先对产能利用率超80%且电价高的站点实施余热发电改造，可降电耗15-20%。但技改期间需保障供应，避免客户流失。财务整合需统一ERP，合并报表，并利用母公司信用获取更低成本兰特融资（当前南非贷款利率10-12%，国内约4-5%）。过渡期前12个月，建议设立联合管理委员会，每月一次战略复盘，及时解决文化摩擦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市场协同上，西部水泥可借助Afri Sam渠道反向分销中国建材产品，如瓷砖、卫浴。但这需单独成立贸易公司，解决清关和标准认证。前两年应聚焦水泥降本和渠道巩固，第三年再拓展。并购前，董事会应就投后三年阶段性目标达成共识，写入股东协议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四、支付方式与融资安排需匹配投后现金流，避免债务危机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西部水泥为港股上市公司，可动用自有现金、并购贷款和配股。2025年报显示现金约14.8亿人民币，短期借款6.5亿，净现金8.3亿，但部分需用于国内项目。若对价2.5亿美元（约18亿人民币），需外部融资。一种方案是自筹8000万美元，其余通过境内银行并购贷款（利率4-5%，期限5-7年），以港股股权质押。贷款需标的现金流覆盖本息。另一种方案是引入PE，西部水泥控股51%，PE出资49%，并约定回购条款，减轻初期资金压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支付工具方面，纯现金交易快速但消耗流动性；部分现金加股票可减少现金支出，但需卖方接受股份，且涉及港股通限制。现金支付概率更大。建议分期支付：签约时付5-10%定金；竞争委员会批准后付50%；交割时付30-40%；剩余10-15%作为质量保证金分两年释放。这能降低交割前风险敞口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贷款成本需与自由现金流匹配。假设Afri Sam年EBITDA 4000万美元，偿债2500万，每年自由现金流1500万，可支持技改。但若兰特贬值，EBITDA降至3000万，偿债压力骤升。贷款合同应设弹性还款条款，允许现金不足时展期或降低还款比例。买方还应购买政治风险保险，覆盖征用、汇兑限制等，费率约0.5-1.5%/年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五、交割后前六个月的信任建立决定并购成败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资在非并购失败多因文化冲突和劳工问题。例如某央企收购南非矿产后，因大量派驻中方人员、更换供应商，引发罢工和抗议，项目停摆。西部水泥应明确“三不原则”：不裁员、不降薪、不更换主要供应商（除非严重贪腐或质量问题）。同时主动与南非三大工会（如NUM、AMCU）对话，承诺遵守现有集体谈判协议，设立联合协商委员会，每季度审议员工福利。这能迅速建立信任，为后续改革奠基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渠道端，不要强制推行新信用政策。先派市场总监观察半年，再与区域销售经理共同优化。关键客户走访由中方董事长+原CEO共同完成，展示长期承诺。保留Afri Sam独立品牌至少三年，仅在包装增加“西部水泥成员企业”字样。品牌过渡策略需细致。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投后第一年设定量化指标：产能利用率维持80%以上、EBITDA不低于收购前、客户留存率90%以上、员工流失率低于15%、安全零事故。每月对比预算，偏差超10%立即整改。跨境并购不是一次性交易，而是三到五年的管理项目。只有用数据管理整合，才能将“赌博”转化为“系统工程”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