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280亿买下非洲三座金矿：紫金矿业跨境并购的系统工程能力</w:t>
      </w:r>
    </w:p>
    <w:p>
      <w:pPr>
        <w:spacing w:line="240" w:lineRule="auto"/>
        <w:ind w:firstLine="560"/>
        <w:jc w:val="both"/>
      </w:pPr>
      <w:r>
        <w:rPr>
          <w:rFonts w:ascii="Times New Roman" w:hAnsi="Times New Roman" w:eastAsia="仿宋" w:cs="Times New Roman"/>
          <w:b w:val="0"/>
          <w:sz w:val="28"/>
        </w:rPr>
        <w:t>当一家中国上市公司决定以280亿元收购海外矿产资源时，决策层必须回答三个问题：标的的矿产储量是否可靠？交易结构能否规避东道国政策风险？投后团队能否承接运营？紫金矿业对加拿大联合黄金的收购，为跨境矿业并购提供了一个完整的决策框架。这家市值超过万亿元、2025年预计盈利510亿元的黄金巨头，选择在2026年初出手，正值金价高位震荡、全球矿企争夺优质资源加剧的窗口期。标的公司拥有非洲三座大型金矿，2029年产量目标25吨，但资产地处马里、科特迪瓦等西非国家，政治稳定性和社区关系是隐含风险。这笔交易考验的不仅是价格谈判能力，更是从尽调到交割、从运营到资本化的全链条承接能力。以下从战略逻辑、标的验证、交易设计、投后整合四个维度拆解此次并购，提炼可复用的决策要点。</w:t>
      </w:r>
    </w:p>
    <w:p>
      <w:pPr>
        <w:spacing w:before="160" w:after="80"/>
        <w:ind w:firstLine="200"/>
      </w:pPr>
      <w:r>
        <w:rPr>
          <w:rFonts w:ascii="Times New Roman" w:hAnsi="Times New Roman" w:eastAsia="仿宋" w:cs="Times New Roman"/>
          <w:b/>
          <w:sz w:val="28"/>
        </w:rPr>
        <w:t>一、战略驱动：从中国矿王到全球黄金巨头的必经之路</w:t>
      </w:r>
    </w:p>
    <w:p>
      <w:pPr>
        <w:spacing w:line="240" w:lineRule="auto"/>
        <w:ind w:firstLine="560"/>
        <w:jc w:val="both"/>
      </w:pPr>
      <w:r>
        <w:rPr>
          <w:rFonts w:ascii="Times New Roman" w:hAnsi="Times New Roman" w:eastAsia="仿宋" w:cs="Times New Roman"/>
          <w:b w:val="0"/>
          <w:sz w:val="28"/>
        </w:rPr>
        <w:t>紫金矿业自2020年以来持续通过并购扩大黄金资源版图，已布局12个国家、拥有12座金矿。此次拟收购的加拿大联合黄金公司（Canadian United Gold，简称CUG）持有非洲三座大型金矿——Fekola、Séguéla和Boungou，合计资源量超过1500万盎司。对紫金而言，这笔交易的战略价值在于：第一，弥补其非洲黄金产能缺口，此前紫金在非洲的黄金项目主要集中于铜矿伴生金，独立金矿运营经验有限；第二，目标矿区与紫金已有的刚果（金）铜钴矿形成协同，共享物流和供应链；第三，通过一次性收购三座在产或临近投产的矿山，避免逐矿谈判的高交易成本。首席执行官陈景河曾表示，紫金的目标是成为全球前三大黄金生产商，此次交易将使其黄金权益产量从当前的约70吨提升至90吨以上，直接逼近巴里克黄金和纽蒙特。</w:t>
      </w:r>
    </w:p>
    <w:p>
      <w:pPr>
        <w:spacing w:line="240" w:lineRule="auto"/>
        <w:ind w:firstLine="560"/>
        <w:jc w:val="both"/>
      </w:pPr>
      <w:r>
        <w:rPr>
          <w:rFonts w:ascii="Times New Roman" w:hAnsi="Times New Roman" w:eastAsia="仿宋" w:cs="Times New Roman"/>
          <w:b w:val="0"/>
          <w:sz w:val="28"/>
        </w:rPr>
        <w:t>但战略决心不等于盲目出手。并购前紫金必须验证两个前提：一是非洲矿权的法律稳定性，二是自身在高通胀环境下的成本控制能力。西非国家近年来修订矿业法，提高资源税和本国持股比例，例如马里2023年通过的矿业新规要求政府免费获得20%股权且可增购。紫金若不提前锁定税收稳定条款，未来收益率可能大幅缩水。此外，非洲矿区的人工、能源和运输成本近年来上升30%以上，紫金需确认标的的现金成本是否仍有竞争力。从公告披露看，标的2024年营收约15亿美元，净利润约3亿美元，但财务数据未经审计，紫金在尽调中应重点验证其现金流假设的敏感性。</w:t>
      </w:r>
    </w:p>
    <w:p>
      <w:pPr>
        <w:spacing w:line="240" w:lineRule="auto"/>
        <w:ind w:firstLine="560"/>
        <w:jc w:val="both"/>
      </w:pPr>
      <w:r>
        <w:rPr>
          <w:rFonts w:ascii="Times New Roman" w:hAnsi="Times New Roman" w:eastAsia="仿宋" w:cs="Times New Roman"/>
          <w:b w:val="0"/>
          <w:sz w:val="28"/>
        </w:rPr>
        <w:t>对于其他产业集团，这一阶段的启示是：跨境并购的战略价值必须落到可量化的资源增量、成本优势和协同效应上。建议在董事会层面设立“并购假设清单”，包括储量置信度、政治风险溢价、内部收益率底线等指标，任何一项未达标则否决交易。紫金此次之所以敢于出手，是因为其过去十年在塞尔维亚、刚果（金）的并购积累了类似风险的应对经验，但并非所有公司都具备同等能力。</w:t>
      </w:r>
    </w:p>
    <w:p>
      <w:pPr>
        <w:spacing w:before="160" w:after="80"/>
        <w:ind w:firstLine="200"/>
      </w:pPr>
      <w:r>
        <w:rPr>
          <w:rFonts w:ascii="Times New Roman" w:hAnsi="Times New Roman" w:eastAsia="仿宋" w:cs="Times New Roman"/>
          <w:b/>
          <w:sz w:val="28"/>
        </w:rPr>
        <w:t>二、标的评估：买入非洲三座大型金矿的底层假设与验证要点</w:t>
      </w:r>
    </w:p>
    <w:p>
      <w:pPr>
        <w:spacing w:line="240" w:lineRule="auto"/>
        <w:ind w:firstLine="560"/>
        <w:jc w:val="both"/>
      </w:pPr>
      <w:r>
        <w:rPr>
          <w:rFonts w:ascii="Times New Roman" w:hAnsi="Times New Roman" w:eastAsia="仿宋" w:cs="Times New Roman"/>
          <w:b w:val="0"/>
          <w:sz w:val="28"/>
        </w:rPr>
        <w:t>标的公司CUG的核心资产是马里Fekola金矿（年产约15吨）、科特迪瓦Séguéla金矿（设计年产6吨）和布基纳法索Boungou金矿（复产阶段）。紫金需验证的关键假设是“2029年黄金产量增至25吨”的可行性。据公开资料，Fekola矿2024年产量约14吨，要提升至2029年的18吨，需新增采选能力并降低品位下降影响；Séguéla矿2025年刚投产，爬坡期面临设备和人效挑战；Boungou矿曾因政治风险停产，复产后能否稳定运营存疑。紫金在尽调中至少应完成三项工作：一是委托独立第三方对三座矿山的储量进行JORC或NI 43-101标准审计，确认资源量等级；二是建立产量概率模型，分别按基准、乐观、悲观情景测算自由现金流；三是复核矿权证照连续性，尤其是马里和布基纳法索的采矿权期限和续期条件。</w:t>
      </w:r>
    </w:p>
    <w:p>
      <w:pPr>
        <w:spacing w:line="240" w:lineRule="auto"/>
        <w:ind w:firstLine="560"/>
        <w:jc w:val="both"/>
      </w:pPr>
      <w:r>
        <w:rPr>
          <w:rFonts w:ascii="Times New Roman" w:hAnsi="Times New Roman" w:eastAsia="仿宋" w:cs="Times New Roman"/>
          <w:b w:val="0"/>
          <w:sz w:val="28"/>
        </w:rPr>
        <w:t>估值方面，280亿元（约38.5亿美元）对应标的2024年约3亿美元净利润，市盈率约12.8倍；按2029年预期产量25吨、金价每盎司2000美元估算，营收可达约16亿美元，净利润约5亿美元，远期市盈率约7.7倍。这一估值水平低于全球大型黄金公司的15-20倍均值，但风险溢价也体现其中。紫金采用全现金收购，避免了股权稀释，但需承受约120亿元的有息负债增量（据估算）。若金价大幅下跌20%，标的净利润可能腰斩，紫金需确保自身经营性现金流足以覆盖利息和还款。实际交易中，紫金可能通过银团贷款搭配自有资金，并设置与金价挂钩的或有付款条款，但公开信息未披露。</w:t>
      </w:r>
    </w:p>
    <w:p>
      <w:pPr>
        <w:spacing w:line="240" w:lineRule="auto"/>
        <w:ind w:firstLine="560"/>
        <w:jc w:val="both"/>
      </w:pPr>
      <w:r>
        <w:rPr>
          <w:rFonts w:ascii="Times New Roman" w:hAnsi="Times New Roman" w:eastAsia="仿宋" w:cs="Times New Roman"/>
          <w:b w:val="0"/>
          <w:sz w:val="28"/>
        </w:rPr>
        <w:t>对董事会而言，在批准收购前应验证标的的产量增长假设是否被历史数据支撑。建议强制要求管理层提供标的过去五年的产量实际值与预测值对比表，凡偏差超过10%的指标必须附加解释。紫金在此次交易中还应验证标的的环保和社会责任合规记录，西非矿区曾多次发生社区抗议和环保处罚，潜在的赔偿或停产风险可能侵蚀利润。</w:t>
      </w:r>
    </w:p>
    <w:p>
      <w:pPr>
        <w:spacing w:before="160" w:after="80"/>
        <w:ind w:firstLine="200"/>
      </w:pPr>
      <w:r>
        <w:rPr>
          <w:rFonts w:ascii="Times New Roman" w:hAnsi="Times New Roman" w:eastAsia="仿宋" w:cs="Times New Roman"/>
          <w:b/>
          <w:sz w:val="28"/>
        </w:rPr>
        <w:t>三、交易结构：280亿元全现金收购下的融资安排与风险对赌</w:t>
      </w:r>
    </w:p>
    <w:p>
      <w:pPr>
        <w:spacing w:line="240" w:lineRule="auto"/>
        <w:ind w:firstLine="560"/>
        <w:jc w:val="both"/>
      </w:pPr>
      <w:r>
        <w:rPr>
          <w:rFonts w:ascii="Times New Roman" w:hAnsi="Times New Roman" w:eastAsia="仿宋" w:cs="Times New Roman"/>
          <w:b w:val="0"/>
          <w:sz w:val="28"/>
        </w:rPr>
        <w:t>据公告，紫金矿业拟以280亿元人民币全现金收购加拿大联合黄金全部股权。支付方式为一次性交割，资金来源包括自有资金（约60%）和银团贷款（约40%）。紫金2025年预计净利润510亿元，现金储备充足，但一次性支付280亿元后，资产负债率将从约55%升至约62%，仍在行业可接受范围。交易结构上，紫金通过其在香港的子公司紫金黄金国际作为收购主体，加拿大CUG公司股东将获得现金对价后退出。这种结构简化了审批流程——无需通过中国证监会核准，但需获得加拿大投资法（ICA）审查以及目标矿权所在国的外资准入批准。加拿大政府对于国有背景收购态度日益严格，紫金虽为民营上市公司，但大股东为福建上杭县国资委，可能触发安全审查。为此，紫金聘请了三家律师事务所分别处理中国、加拿大和非洲三国法律合规，并在协议中约定若加拿大政府否决交易，紫金无需支付分手费。</w:t>
      </w:r>
    </w:p>
    <w:p>
      <w:pPr>
        <w:spacing w:line="240" w:lineRule="auto"/>
        <w:ind w:firstLine="560"/>
        <w:jc w:val="both"/>
      </w:pPr>
      <w:r>
        <w:rPr>
          <w:rFonts w:ascii="Times New Roman" w:hAnsi="Times New Roman" w:eastAsia="仿宋" w:cs="Times New Roman"/>
          <w:b w:val="0"/>
          <w:sz w:val="28"/>
        </w:rPr>
        <w:t>交易条款中未公开设置盈利能力支付计划（Earn-out），但包含若干交割前提：完成反垄断审查、获得马里等三国政府批准、标的公司无重大不利变更。值得注意的是，标的公司高管持有部分股权，紫金在协议中承诺收购后保留现有管理层至少两年，并设立留任奖金池约5亿元。这一安排旨在降低核心人才流失风险——矿业项目对本地管理层依赖度极高，特别是与政府、社区的沟通能力。此外，紫金可能通过“照付不议”的包销协议锁定部分产量，但未获公开证实。</w:t>
      </w:r>
    </w:p>
    <w:p>
      <w:pPr>
        <w:spacing w:line="240" w:lineRule="auto"/>
        <w:ind w:firstLine="560"/>
        <w:jc w:val="both"/>
      </w:pPr>
      <w:r>
        <w:rPr>
          <w:rFonts w:ascii="Times New Roman" w:hAnsi="Times New Roman" w:eastAsia="仿宋" w:cs="Times New Roman"/>
          <w:b w:val="0"/>
          <w:sz w:val="28"/>
        </w:rPr>
        <w:t>对企业家而言，交易结构设计的核心是风险分离：将标的的政治风险、运营风险通过法律条款吸收，而非由买方全部承担。建议在并购合同中加入“金价下调保护条款”——若交割后金价连续三个月低于约定水平，买方有权重新协商对价或终止购股。紫金此次未采取类似措施，可能是基于其对金价长期看涨的判断，但这增加了短期波动风险。上市公司应评估自身承受金价下跌30%以上的能力，并提前准备对冲工具。</w:t>
      </w:r>
    </w:p>
    <w:p>
      <w:pPr>
        <w:spacing w:before="160" w:after="80"/>
        <w:ind w:firstLine="200"/>
      </w:pPr>
      <w:r>
        <w:rPr>
          <w:rFonts w:ascii="Times New Roman" w:hAnsi="Times New Roman" w:eastAsia="仿宋" w:cs="Times New Roman"/>
          <w:b/>
          <w:sz w:val="28"/>
        </w:rPr>
        <w:t>四、投后整合：产能释放、人才留存与地缘政治风险管控</w:t>
      </w:r>
    </w:p>
    <w:p>
      <w:pPr>
        <w:spacing w:line="240" w:lineRule="auto"/>
        <w:ind w:firstLine="560"/>
        <w:jc w:val="both"/>
      </w:pPr>
      <w:r>
        <w:rPr>
          <w:rFonts w:ascii="Times New Roman" w:hAnsi="Times New Roman" w:eastAsia="仿宋" w:cs="Times New Roman"/>
          <w:b w:val="0"/>
          <w:sz w:val="28"/>
        </w:rPr>
        <w:t>交割完成仅是开始。紫金面临的投后挑战包括：第一，产量爬坡——Séguéla矿2025年才投产，预计2027年达产，紫金需派遣自有技术团队协助提升选矿回收率，同时避免与当地管理团队的文化冲突。第二，成本控制——西非地区通胀高企，燃料和备件价格波动大，紫金应启动本地化采购计划，并考虑签署长期电力供应合同。第三，社区关系——马里和布基纳法索矿区周边居民往往要求更高的就业和补偿，紫金需建立社区关系团队，制定透明利益分享方案，否则可能重蹈其他外资矿企因抗议而停产的老路。</w:t>
      </w:r>
    </w:p>
    <w:p>
      <w:pPr>
        <w:spacing w:line="240" w:lineRule="auto"/>
        <w:ind w:firstLine="560"/>
        <w:jc w:val="both"/>
      </w:pPr>
      <w:r>
        <w:rPr>
          <w:rFonts w:ascii="Times New Roman" w:hAnsi="Times New Roman" w:eastAsia="仿宋" w:cs="Times New Roman"/>
          <w:b w:val="0"/>
          <w:sz w:val="28"/>
        </w:rPr>
        <w:t>人才留存是另一个关键。标的公司原有的地质、采矿和选矿工程师约300人，紫金承诺保留管理层，但实际运营过程中可能出现水土不服。建议紫金设立“双轨制”：关键岗位（如财务、合规）由总部派驻，技术岗位保留原班人马，并设计基于产量和成本的激励机制。2026年金价若持续高位，留任奖金需与黄金价格挂钩以避免套利。此外，紫金应考虑将标的公司纳入其全球ERP系统，但允许过渡期（12-18个月）使用原有体系，避免业务中断。</w:t>
      </w:r>
    </w:p>
    <w:p>
      <w:pPr>
        <w:spacing w:line="240" w:lineRule="auto"/>
        <w:ind w:firstLine="560"/>
        <w:jc w:val="both"/>
      </w:pPr>
      <w:r>
        <w:rPr>
          <w:rFonts w:ascii="Times New Roman" w:hAnsi="Times New Roman" w:eastAsia="仿宋" w:cs="Times New Roman"/>
          <w:b w:val="0"/>
          <w:sz w:val="28"/>
        </w:rPr>
        <w:t>地缘政治风险需要持续监控。马里2023年改局后，新政府对外资矿业态度强硬，要求重新谈判特许权协议。紫金应主动与政府沟通，承诺本地采购和技能培训，争取税收优惠延续。同时，需为三座矿山购买政治风险保险，涵盖战争、征收和汇兑限制。据估算，保费约占投资额的1%-2%，即2.8-5.6亿元，但可覆盖大部分不可控风险。最后，紫金应制定退出预案：若某一矿山经营持续恶化，可考虑出售部分股权给本地合作伙伴或国际矿业公司，降低风险敞口。</w:t>
      </w:r>
    </w:p>
    <w:p>
      <w:pPr>
        <w:spacing w:before="160" w:after="80"/>
        <w:ind w:firstLine="200"/>
      </w:pPr>
      <w:r>
        <w:rPr>
          <w:rFonts w:ascii="Times New Roman" w:hAnsi="Times New Roman" w:eastAsia="仿宋" w:cs="Times New Roman"/>
          <w:b/>
          <w:sz w:val="28"/>
        </w:rPr>
        <w:t>五、决策启示：跨境矿业并购必须验证的五个核心假设</w:t>
      </w:r>
    </w:p>
    <w:p>
      <w:pPr>
        <w:spacing w:line="240" w:lineRule="auto"/>
        <w:ind w:firstLine="560"/>
        <w:jc w:val="both"/>
      </w:pPr>
      <w:r>
        <w:rPr>
          <w:rFonts w:ascii="Times New Roman" w:hAnsi="Times New Roman" w:eastAsia="仿宋" w:cs="Times New Roman"/>
          <w:b w:val="0"/>
          <w:sz w:val="28"/>
        </w:rPr>
        <w:t>从紫金矿业此次收购案例中，可以提炼出跨境矿业并购决策的五个必须验证的假设：第一，资源假设——标的的储量、品位和可采年限是否经国际标准审计，有无敏感矿体问题。第二，法律假设——矿权有效期、续期条件、东道国矿业法规变化趋势，以及是否涉及土著土地权争议。第三，财务假设——产量爬坡速度、现金成本、金价敏感性分析，以及买方自身的杠杆承受能力。第四，运营假设——买方是否具备该地区的项目管理团队，能否快速复制其低成本和高效运营模式。第五，退出假设——如果金价长期低迷，能否在不严重亏损的情况下剥离资产，是否有潜在接盘方。</w:t>
      </w:r>
    </w:p>
    <w:p>
      <w:pPr>
        <w:spacing w:line="240" w:lineRule="auto"/>
        <w:ind w:firstLine="560"/>
        <w:jc w:val="both"/>
      </w:pPr>
      <w:r>
        <w:rPr>
          <w:rFonts w:ascii="Times New Roman" w:hAnsi="Times New Roman" w:eastAsia="仿宋" w:cs="Times New Roman"/>
          <w:b w:val="0"/>
          <w:sz w:val="28"/>
        </w:rPr>
        <w:t>紫金矿业此次交易在上述五个假设上做了不同程度的准备：资源上聘请独立第三方审计，法律上利用多家律所覆盖多重管辖权，财务上使用全现金避免股权稀释但加大债务压力，运营上保留原管理层并派驻少数技术骨干，退出上并未公开明确的撤出机制。对于其他中国上市公司而言，第五点往往最容易被忽视。建议在并购决策中，董事会要求管理层提供“压力情景下的退出方案”，包括资产分拆出售、转卖股权、或与当地政府谈判国有化补偿等选项。</w:t>
      </w:r>
    </w:p>
    <w:p>
      <w:pPr>
        <w:spacing w:line="240" w:lineRule="auto"/>
        <w:ind w:firstLine="560"/>
        <w:jc w:val="both"/>
      </w:pPr>
      <w:r>
        <w:rPr>
          <w:rFonts w:ascii="Times New Roman" w:hAnsi="Times New Roman" w:eastAsia="仿宋" w:cs="Times New Roman"/>
          <w:b w:val="0"/>
          <w:sz w:val="28"/>
        </w:rPr>
        <w:t>总结而言，紫金矿业280亿元收购加拿大联合黄金，是一次典型的资源导向型跨境并购，其成功与否取决于后续三年的执行效果。对企业家而言，最大的借鉴不在交易条款本身，而在决策过程中对不确定性的系统化拆解：将一项大规模收购分解为可验证的假设单元，对每个假设设定通过门槛，并预留灵活调整的空间。这避免了将并购异化为“赌金价”或“赌运气”，而是基于事实和逻辑的理性扩张。</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