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私有化回归的双重逻辑：买方买入的不是广告收入，而是政企安全的基础设施能力</w:t>
      </w:r>
    </w:p>
    <w:p>
      <w:pPr>
        <w:spacing w:line="240" w:lineRule="auto"/>
        <w:ind w:firstLine="560"/>
        <w:jc w:val="both"/>
      </w:pPr>
      <w:r>
        <w:rPr>
          <w:rFonts w:ascii="Times New Roman" w:hAnsi="Times New Roman" w:eastAsia="仿宋" w:cs="Times New Roman"/>
          <w:b w:val="0"/>
          <w:sz w:val="28"/>
        </w:rPr>
        <w:t>2016年奇虎360以93亿美元完成私有化，2017年借壳江南嘉捷以504亿元估值回归A股，一度市值突破4500亿元。这一案例对上市公司董事长和CEO的核心启示在于：私有化决策并非简单的估值套利，而是对标的资产在境内资本市场重新定价的判断，以及回归后业务能否从消费互联网向产业安全转型的验证。并购前必须回答两个问题——买方买入的究竟是流量变现能力还是不可替代的基础设施属性？交易结构中的资金安全垫和监管窗口是否可复制？投后整合的关键不在于保留原有团队，而在于能否将原有技术能力迁移到新市场。</w:t>
      </w:r>
    </w:p>
    <w:p>
      <w:pPr>
        <w:spacing w:before="160" w:after="80"/>
        <w:ind w:firstLine="200"/>
      </w:pPr>
      <w:r>
        <w:rPr>
          <w:rFonts w:ascii="Times New Roman" w:hAnsi="Times New Roman" w:eastAsia="仿宋" w:cs="Times New Roman"/>
          <w:b/>
          <w:sz w:val="28"/>
        </w:rPr>
        <w:t>一、私有化的真实动机：买方买入的是技术平台而非流量生意</w:t>
      </w:r>
    </w:p>
    <w:p>
      <w:pPr>
        <w:spacing w:line="240" w:lineRule="auto"/>
        <w:ind w:firstLine="560"/>
        <w:jc w:val="both"/>
      </w:pPr>
      <w:r>
        <w:rPr>
          <w:rFonts w:ascii="Times New Roman" w:hAnsi="Times New Roman" w:eastAsia="仿宋" w:cs="Times New Roman"/>
          <w:b w:val="0"/>
          <w:sz w:val="28"/>
        </w:rPr>
        <w:t>奇虎360于2011年3月在纽交所上市，IPO定价14.5美元，市值约32亿美元。到2014年，公司市值一度突破120亿美元，但随后在2015年跌落至约60亿美元。周鸿祎及管理层认为，美国市场对网络安全公司的估值逻辑偏向流量广告，而360的真实价值在于其构建的网络安全技术体系——包括国内最大的网络安全数据库、覆盖8000万PC端用户和超过4亿移动端用户的安全产品矩阵，以及基于安全产品延伸的浏览器、应用分发等入口。这些资产在A股市场更容易被理解为其在大型政企安全、国家网络安全基础设施方面的战略价值，而非单纯的广告收入。</w:t>
      </w:r>
    </w:p>
    <w:p>
      <w:pPr>
        <w:spacing w:line="240" w:lineRule="auto"/>
        <w:ind w:firstLine="560"/>
        <w:jc w:val="both"/>
      </w:pPr>
      <w:r>
        <w:rPr>
          <w:rFonts w:ascii="Times New Roman" w:hAnsi="Times New Roman" w:eastAsia="仿宋" w:cs="Times New Roman"/>
          <w:b w:val="0"/>
          <w:sz w:val="28"/>
        </w:rPr>
        <w:t>私有化决策的触发点在于2015年的中概股回归潮。当时A股市场对互联网公司给予高估值溢价，尤其是具备国家战略属性的安全公司。2015年6月，360宣布收到初步非约束性私有化要约，报价每股ADS 77美元，较前一日收盘价溢价约16.6%，对应总估值约93亿美元。管理层的核心假设是：若以93亿美元私有化，再在A股上市，估值至少可达到2000亿元人民币以上，回报空间超过三倍。这一假设基于彼时A股科技股的高估值和网络安全板块的稀缺性，但需要验证的是私有化资金的杠杆结构能否承受时间成本和监管风险。</w:t>
      </w:r>
    </w:p>
    <w:p>
      <w:pPr>
        <w:spacing w:line="240" w:lineRule="auto"/>
        <w:ind w:firstLine="560"/>
        <w:jc w:val="both"/>
      </w:pPr>
      <w:r>
        <w:rPr>
          <w:rFonts w:ascii="Times New Roman" w:hAnsi="Times New Roman" w:eastAsia="仿宋" w:cs="Times New Roman"/>
          <w:b w:val="0"/>
          <w:sz w:val="28"/>
        </w:rPr>
        <w:t>从标的筛选角度看，360在私有化前的营收和利润表现扎实。据公开披露，2014年营收约14亿美元，净利润约2.2亿美元；2015年营收约17.5亿美元，净利润约3.1亿美元。现金流稳健，资产负债率较低，这使其具备通过债务融资支持私有化的基础。买方团成员包括中信国安、天业股份、红杉资本等，其中中信国安出资约4亿美元，引入招商银行等银行提供的贷款约30亿美元。整个私有化资金中，银行债务占比超过60%，管理层和股东权益约40%。这种高杠杆结构要求私有化后尽快完成A股上市以偿还贷款，否则利息压力将侵蚀收益。</w:t>
      </w:r>
    </w:p>
    <w:p>
      <w:pPr>
        <w:spacing w:before="160" w:after="80"/>
        <w:ind w:firstLine="200"/>
      </w:pPr>
      <w:r>
        <w:rPr>
          <w:rFonts w:ascii="Times New Roman" w:hAnsi="Times New Roman" w:eastAsia="仿宋" w:cs="Times New Roman"/>
          <w:b/>
          <w:sz w:val="28"/>
        </w:rPr>
        <w:t>二、93亿美元私有化交易结构：多层杠杆与对赌条款如何锁定资金安全</w:t>
      </w:r>
    </w:p>
    <w:p>
      <w:pPr>
        <w:spacing w:line="240" w:lineRule="auto"/>
        <w:ind w:firstLine="560"/>
        <w:jc w:val="both"/>
      </w:pPr>
      <w:r>
        <w:rPr>
          <w:rFonts w:ascii="Times New Roman" w:hAnsi="Times New Roman" w:eastAsia="仿宋" w:cs="Times New Roman"/>
          <w:b w:val="0"/>
          <w:sz w:val="28"/>
        </w:rPr>
        <w:t>360私有化的交易结构采用了典型的“权益出资+债务融资+过桥贷款”多层杠杆。买方团由周鸿祎为首的管理层、中信国安、天业股份、红杉等PE机构组成。总资金需求约93亿美元，其中管理层及PE股东权益出资约33亿美元，剩余60亿美元通过银行贷款和过桥贷款解决。招商银行牵头提供了约30亿美元的贷款，利率为Libor+3%左右，期限3年。此外，中信国安等部分股东还额外提供了约10亿美元的过桥贷款。这种结构下，私有化完成后360的负债骤增，偿债压力要求公司在2-3年内完成A股上市。</w:t>
      </w:r>
    </w:p>
    <w:p>
      <w:pPr>
        <w:spacing w:line="240" w:lineRule="auto"/>
        <w:ind w:firstLine="560"/>
        <w:jc w:val="both"/>
      </w:pPr>
      <w:r>
        <w:rPr>
          <w:rFonts w:ascii="Times New Roman" w:hAnsi="Times New Roman" w:eastAsia="仿宋" w:cs="Times New Roman"/>
          <w:b w:val="0"/>
          <w:sz w:val="28"/>
        </w:rPr>
        <w:t>为保护银行资金安全，交易设置了严格的债务条款和抵质押措施。360将旗下核心子公司股权、商标专利等无形资产抵押给银团。同时，周鸿祎等管理层与银行签订了个人无限连带责任担保条款。这意味着若上市失败，管理层个人资产将承担清偿风险。此外，PE股东与银行之间还设有对赌协议：若私有化完成后18个月内未能完成A股上市，PE股东需以高于贷款利率的价格赎回银行股权。这些条款将资金风险锁定在管理层和PE身上，银行承担的风险相对可控。</w:t>
      </w:r>
    </w:p>
    <w:p>
      <w:pPr>
        <w:spacing w:line="240" w:lineRule="auto"/>
        <w:ind w:firstLine="560"/>
        <w:jc w:val="both"/>
      </w:pPr>
      <w:r>
        <w:rPr>
          <w:rFonts w:ascii="Times New Roman" w:hAnsi="Times New Roman" w:eastAsia="仿宋" w:cs="Times New Roman"/>
          <w:b w:val="0"/>
          <w:sz w:val="28"/>
        </w:rPr>
        <w:t>私有化过程中另一个关键设计是退市前的股份回购要约。2015年12月，360宣布与买方团达成最终私有化协议，每股ADS 77美元。2016年3月，特别股东大会批准私有化。2016年7月，360完成退市，正式从纽交所摘牌，私有化交易总成本包括律师费、投行费用等约1.5亿美元。至此，360回归境内，但面临紧迫的上市时间窗口——借贷资金成本每年约3亿美元，加上前期各类中介费用，留给管理层寻找壳资源和完成借壳的时间最多不超过两年。</w:t>
      </w:r>
    </w:p>
    <w:p>
      <w:pPr>
        <w:spacing w:before="160" w:after="80"/>
        <w:ind w:firstLine="200"/>
      </w:pPr>
      <w:r>
        <w:rPr>
          <w:rFonts w:ascii="Times New Roman" w:hAnsi="Times New Roman" w:eastAsia="仿宋" w:cs="Times New Roman"/>
          <w:b/>
          <w:sz w:val="28"/>
        </w:rPr>
        <w:t>三、借壳江南嘉捷：504亿作价背后的估值逻辑与监管博弈</w:t>
      </w:r>
    </w:p>
    <w:p>
      <w:pPr>
        <w:spacing w:line="240" w:lineRule="auto"/>
        <w:ind w:firstLine="560"/>
        <w:jc w:val="both"/>
      </w:pPr>
      <w:r>
        <w:rPr>
          <w:rFonts w:ascii="Times New Roman" w:hAnsi="Times New Roman" w:eastAsia="仿宋" w:cs="Times New Roman"/>
          <w:b w:val="0"/>
          <w:sz w:val="28"/>
        </w:rPr>
        <w:t>2017年11月，360宣布拟借壳江南嘉捷，后者是一家主营电梯制造的主板上市公司，总市值约40亿元，壳资源相对干净，无历史遗留问题。交易作价504.16亿元，全部通过发行股份支付，发行价7.89元/股，共计发行约63.67亿股。交易完成后，周鸿祎直接和间接持有约48.74%股权，成为实际控制人。此次借壳的交易价格相当于360 2016年净利润约30亿元的16.8倍市盈率，相比私有化时93亿美元（约600亿元人民币）估值有所折价，但考虑到私有化债务，A股市价预期远高于此。</w:t>
      </w:r>
    </w:p>
    <w:p>
      <w:pPr>
        <w:spacing w:line="240" w:lineRule="auto"/>
        <w:ind w:firstLine="560"/>
        <w:jc w:val="both"/>
      </w:pPr>
      <w:r>
        <w:rPr>
          <w:rFonts w:ascii="Times New Roman" w:hAnsi="Times New Roman" w:eastAsia="仿宋" w:cs="Times New Roman"/>
          <w:b w:val="0"/>
          <w:sz w:val="28"/>
        </w:rPr>
        <w:t>估值逻辑的关键在于A股对网络安全公司的稀缺性定价。2017年A股网络安全板块平均市盈率约60倍，而360作为行业龙头，其安全产品覆盖国内95%以上的互联网用户，在政企安全市场占据主导地位。机构预计2017年净利润约40亿元，按40倍市盈率算市值约1600亿元；若给予更高溢价，可达2000亿元以上。实际上市后，360市值一度超过4500亿元，远高于预期。这一高估值反映出监管层对关键基础设施领域科技公司的支持态度，但也为后续的市值回落埋下伏笔。</w:t>
      </w:r>
    </w:p>
    <w:p>
      <w:pPr>
        <w:spacing w:line="240" w:lineRule="auto"/>
        <w:ind w:firstLine="560"/>
        <w:jc w:val="both"/>
      </w:pPr>
      <w:r>
        <w:rPr>
          <w:rFonts w:ascii="Times New Roman" w:hAnsi="Times New Roman" w:eastAsia="仿宋" w:cs="Times New Roman"/>
          <w:b w:val="0"/>
          <w:sz w:val="28"/>
        </w:rPr>
        <w:t>借壳交易面临严格的监管审批，特别是中概股回归涉及的外汇管控、VIE架构拆除、业务合规等问题。360在私有化时已拆除了VIE架构，但需要获得商务部、证监会、网信办等多部门核准。2017年11月，证监会发布《关于全面加强监管推进上市公司并购重组依法合规开展的指导意见》，虽然并未明确禁止中概股回归，但实际审批速度放缓。360借壳方案于2018年2月完成审批并正式过户，期间监管层要求补充网络安全合规性证明，并对360的业务是否涉及国家秘密进行审查。最终方案得以获批，关键在于360的核心业务——网络安全软件——不属于外资禁止领域，且公司已提前完成外资退出。</w:t>
      </w:r>
    </w:p>
    <w:p>
      <w:pPr>
        <w:spacing w:before="160" w:after="80"/>
        <w:ind w:firstLine="200"/>
      </w:pPr>
      <w:r>
        <w:rPr>
          <w:rFonts w:ascii="Times New Roman" w:hAnsi="Times New Roman" w:eastAsia="仿宋" w:cs="Times New Roman"/>
          <w:b/>
          <w:sz w:val="28"/>
        </w:rPr>
        <w:t>四、投后整合的成败：从消费流量到政企安全的转型，工程能力能否顺利承接</w:t>
      </w:r>
    </w:p>
    <w:p>
      <w:pPr>
        <w:spacing w:line="240" w:lineRule="auto"/>
        <w:ind w:firstLine="560"/>
        <w:jc w:val="both"/>
      </w:pPr>
      <w:r>
        <w:rPr>
          <w:rFonts w:ascii="Times New Roman" w:hAnsi="Times New Roman" w:eastAsia="仿宋" w:cs="Times New Roman"/>
          <w:b w:val="0"/>
          <w:sz w:val="28"/>
        </w:rPr>
        <w:t>回归A股后，360面临的首要整合挑战是业务转型。在美股时期，360收入主要依赖网络广告（占比超过80%），其中以浏览器导航页、应用分发广告为主。但A股投资者对其政企安全业务预期更高。2018年，360宣布全面进军政企安全市场，推出网络安全大脑、终端安全管理系统等产品。2019年，公司成立360政企安全集团，由周鸿祎亲自挂帅，目标是在3年内实现政企安全收入占营收30%以上。然而，实际业绩显示，2019年政企安全收入仅为约10亿元，占整体营收比例不足5%，远低于预期。</w:t>
      </w:r>
    </w:p>
    <w:p>
      <w:pPr>
        <w:spacing w:line="240" w:lineRule="auto"/>
        <w:ind w:firstLine="560"/>
        <w:jc w:val="both"/>
      </w:pPr>
      <w:r>
        <w:rPr>
          <w:rFonts w:ascii="Times New Roman" w:hAnsi="Times New Roman" w:eastAsia="仿宋" w:cs="Times New Roman"/>
          <w:b w:val="0"/>
          <w:sz w:val="28"/>
        </w:rPr>
        <w:t>投后整合的难点在于组织架构和人才留存。360在私有化后，核心高管出现流失：2018年，联合创始人石晓虹离职；2019年，首席安全官谭晓生离职；多名技术骨干随之离去。管理层变动影响了业务连续性。同时，从消费互联网转向政企市场需要对销售模式、产品定价、客户关系进行根本性调整，而360原有的广告销售团队能力不匹配。公司尝试通过并购快速补足能力，例如2019年收购了国内企业安全公司网神51%股权，但整合进度缓慢，效果有限。</w:t>
      </w:r>
    </w:p>
    <w:p>
      <w:pPr>
        <w:spacing w:line="240" w:lineRule="auto"/>
        <w:ind w:firstLine="560"/>
        <w:jc w:val="both"/>
      </w:pPr>
      <w:r>
        <w:rPr>
          <w:rFonts w:ascii="Times New Roman" w:hAnsi="Times New Roman" w:eastAsia="仿宋" w:cs="Times New Roman"/>
          <w:b w:val="0"/>
          <w:sz w:val="28"/>
        </w:rPr>
        <w:t>另一方面，360在技术承接上具备基础。公司拥有国内最大的安全大数据平台，覆盖数亿终端，具备威胁情报分析、漏洞挖掘等核心能力。但政企客户要求私有化部署、定制化服务和长期运维，与原来toC的标准化产品完全不同。公司投入大量研发资源开发政企产品，但产品成熟度和对手（如深信服、启明星辰）相比仍有差距。截至2020年，360政企安全业务仍处于亏损状态。这一案例表明，投后整合不仅仅是简单的团队接管，而是需要重新定义核心能力并有效迁移。</w:t>
      </w:r>
    </w:p>
    <w:p>
      <w:pPr>
        <w:spacing w:before="160" w:after="80"/>
        <w:ind w:firstLine="200"/>
      </w:pPr>
      <w:r>
        <w:rPr>
          <w:rFonts w:ascii="Times New Roman" w:hAnsi="Times New Roman" w:eastAsia="仿宋" w:cs="Times New Roman"/>
          <w:b/>
          <w:sz w:val="28"/>
        </w:rPr>
        <w:t>五、给企业家决策的三个关键假设验证：流动性折价、监管窗口、业务可迁移性</w:t>
      </w:r>
    </w:p>
    <w:p>
      <w:pPr>
        <w:spacing w:line="240" w:lineRule="auto"/>
        <w:ind w:firstLine="560"/>
        <w:jc w:val="both"/>
      </w:pPr>
      <w:r>
        <w:rPr>
          <w:rFonts w:ascii="Times New Roman" w:hAnsi="Times New Roman" w:eastAsia="仿宋" w:cs="Times New Roman"/>
          <w:b/>
          <w:sz w:val="28"/>
        </w:rPr>
        <w:t>第一个必须验证的假设是私有化折价率是否反映了真实的流动性风险与时间成本。</w:t>
      </w:r>
      <w:r>
        <w:rPr>
          <w:rFonts w:ascii="Times New Roman" w:hAnsi="Times New Roman" w:eastAsia="仿宋" w:cs="Times New Roman"/>
          <w:b w:val="0"/>
          <w:sz w:val="28"/>
        </w:rPr>
        <w:t>360以93亿美元（约600亿人民币）私有化，回归后市值最高超4500亿元，但这一价差并非无风险套利。私有化过程中，买家需要承担高额债务利息（每年约3亿美元）、借壳期间的壳费用和律师费，以及监管审批的不确定性。如果上市进程延迟，利息负担会吞噬利润。并购前应测算不同时间窗口下的净现值，确保即使估值下调30%仍可承受。</w:t>
      </w:r>
    </w:p>
    <w:p>
      <w:pPr>
        <w:spacing w:line="240" w:lineRule="auto"/>
        <w:ind w:firstLine="560"/>
        <w:jc w:val="both"/>
      </w:pPr>
      <w:r>
        <w:rPr>
          <w:rFonts w:ascii="Times New Roman" w:hAnsi="Times New Roman" w:eastAsia="仿宋" w:cs="Times New Roman"/>
          <w:b/>
          <w:sz w:val="28"/>
        </w:rPr>
        <w:t>第二个假设是监管窗口的可复制性。</w:t>
      </w:r>
      <w:r>
        <w:rPr>
          <w:rFonts w:ascii="Times New Roman" w:hAnsi="Times New Roman" w:eastAsia="仿宋" w:cs="Times New Roman"/>
          <w:b w:val="0"/>
          <w:sz w:val="28"/>
        </w:rPr>
        <w:t>360在2017-2018年完成借壳，正值A股对中概股回归的有限开放期。此后监管政策收紧，2018年底证监会发布了借壳重组新规，对配套募资和业绩承诺提出更严格要求；2020年后，中概股回归通道基本关闭。管理者不能以历史成功案例作为未来决策的唯一依据，而应判断当前监管环境是否仍有窗口。交易条款中应锁定备选方案——若A股上市受阻，是否有能力将公司重估后卖给战略投资者或通过其他方式退出。</w:t>
      </w:r>
    </w:p>
    <w:p>
      <w:pPr>
        <w:spacing w:line="240" w:lineRule="auto"/>
        <w:ind w:firstLine="560"/>
        <w:jc w:val="both"/>
      </w:pPr>
      <w:r>
        <w:rPr>
          <w:rFonts w:ascii="Times New Roman" w:hAnsi="Times New Roman" w:eastAsia="仿宋" w:cs="Times New Roman"/>
          <w:b/>
          <w:sz w:val="28"/>
        </w:rPr>
        <w:t>第三个假设是业务的可迁移性——即标的在美股市场的成功基因能否在A股市场以不同的商业模式重现。</w:t>
      </w:r>
      <w:r>
        <w:rPr>
          <w:rFonts w:ascii="Times New Roman" w:hAnsi="Times New Roman" w:eastAsia="仿宋" w:cs="Times New Roman"/>
          <w:b w:val="0"/>
          <w:sz w:val="28"/>
        </w:rPr>
        <w:t>360在美股估值依赖广告收入，在A股估值依赖政企安全预期，但转型需要大量资本投入和时间。并购前应做情景分析：假设新业务无法达到预期增速，公司能否回归原有盈利模式？如果不能，估值将面临大幅下调。360市值从4500亿元回落至约1000亿元，正是市场对转型失败的部分定价。管理者应在交易前明确投后整合的具体里程碑、责任人及资源投入，而非仅仅依赖估值故事。</w:t>
      </w:r>
    </w:p>
    <w:p>
      <w:pPr>
        <w:spacing w:line="240" w:lineRule="auto"/>
        <w:ind w:firstLine="560"/>
        <w:jc w:val="both"/>
      </w:pPr>
      <w:r>
        <w:rPr>
          <w:rFonts w:ascii="Times New Roman" w:hAnsi="Times New Roman" w:eastAsia="仿宋" w:cs="Times New Roman"/>
          <w:b w:val="0"/>
          <w:sz w:val="28"/>
        </w:rPr>
        <w:t>以上三点总结为：并购前应验证标的的核心价值在不同资本市场的定价差异是否可持续；交易条款应锁定时间成本和监管风险的缓冲机制；交割后应建立独立的整合团队，并在6-12个月内完成核心业务模式验证。360案例表明，私有化回归并非简单的套利行为，而是一场涉及战略、资金、组织和监管的全面战役，只有前期假设经得起检验的买方才能最终获益。</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