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SPAC交易的确定性陷阱：Grab 400亿美元合并的投后教训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2021年Grab与Altimeter Growth Corp.的合并是史上最大De-SPAC交易，估值约396亿美元，但首日股价即下跌21%，此后连年低迷。对上市公司董事长而言，这一案例揭示了SPAC模式中交易确定性的脆弱、标的成长假设的泡沫、控制权结构的双刃剑以及投后整合的延误成本。并购前必须验证PIPE资金可靠性、单位经济模型可持续性及监管风险；交易条款应嵌入业绩对赌；投后整合需设专责委员会并快速执行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一、交易确定性的根基：PIPE融资承诺与估值锚定的脆弱性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2021年4月，Grab宣布与SPAC公司Altimeter Growth Corp.合并，交易估值约396亿美元。SPAC信托现金约2.76亿美元，同时获得由Altimeter Capital、T. Rowe Price等参与的45亿美元PIPE融资。PIPE是交易确定性的核心支撑，但CEO应意识到，SPAC信托现金通常占比极小，真正锁定的资金来自PIPE。在Grab案例中，PIPE投资者占比约22%，但锁定期后减持风险大。首日交易即从开盘高开18%转为收盘下跌21%，表明市场对成长性的信心不足。交易条款中，PIPE投资者通常有向下保护条款，隐含估值下修可能。因此，并购前必须验证PIPE资方的长期意愿，并防范股价下跌时的稀释效应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估值锚定在2021年预期营收18亿美元的22倍市销率，前提是未来高速增长。实际2023年营收仅约23.6亿美元，远低于预期。CEO在设计SPAC交易时，应平衡现金收益与股权稀释，并预留用于业务发展的资金，而非全部用于老股东退出。Grab的45亿美元PIPE虽规模庞大，但并未设置与业绩挂钩的调整机制，导致后续估值泡沫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前，管理层应通过压力测试验证PIPE在极端市场下的履约能力。2022年SPAC市场普遍回调，多起交易因PIPE撤资而失败。Grab虽成功完成，但PIPE投资者在锁定期后陆续减持，股价长期低于发行价。因此，交易条款中应加入兜底承诺或结构化安排，避免单纯依赖资方信誉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二、标的筛选的实质：买入生态垄断假设，而非当期利润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号称东南亚超级App，2021年GMV约135亿美元，但财务持续亏损：2020年营收11.9亿美元，净亏损27.4亿美元；2021年前三季度营收12.3亿美元，净亏损20.9亿美元。传统估值逻辑无法支撑400亿美元估值，SPAC买家实际买入的是生态垄断地位和网络效应。Grab在网约车市场份额约70%，外卖约30%，金融支付部分领先。但并购前必须验证的关键假设是：补贴停止后用户留存率和单位经济模型能否改善。Grab招股书显示，每笔外卖订单贡献毛利仍为负值，若无法扭亏，估值泡沫将破裂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另一关键假设是监管风险。东南亚各国监管差异大：印尼要求外卖平台与合作社合作，菲律宾设佣金上限，马来西亚对网约车司机许可严格。Grab曾因反竞争被罚约1000万令吉。并购尽调应量化监管对营收的影响（如10%以上）。此外，竞争加剧：Gojek与Tokopedia合并为GoTo，美团虎视眈眈。护城河分析需看客户获取成本（CAC）与客户生命周期价值（LTV）比例，若低于3，则补贴模式不可持续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的优势在于先发和本土化，但资金充裕的对手可快速复制。并购前应通过实地调研用户忠诚度、司机依赖度等软性指标。例如，Grab在越南市场份额被当地企业蚕食，显示其垄断地位并非绝对。买方应要求标的提供分国家、分业务线的单位经济模型，并验证交叉销售的真实转化率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三、控制权安排的双刃剑：创始人高投票权与投资者保护缺失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创始人陈炳耀通过B类股拥有约60%投票权，即便股权稀释后仍保持绝对控制。SPAC合并中，原股东被授予多倍投票权，旨在保护创始人长期战略。但对买方（SPAC发起方和PIPE投资者）而言，这意味着无法有效约束管理层。Grab董事会9人中，原Grab占4席，SPAC发起方2席，独立董事3席，但B类股使得创始人可决定多数董事任命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前，SPAC发起方应通过股东协议要求关键决策（如重大并购、CEO更换）需特定比例批准，或设置日落条款。Grab未设日落条款，导致上市后管理层对亏损策略调整迟缓。2022-2024年股价长期低于发行价80%，投资者不满但无法干预。直到2023年下半年裁员11%并削减非核心业务，股价才略有回升。这证明，控制权过于集中而缺乏业绩制约，投后整合主动性会大打折扣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另一方面，创始人控制权也有正面作用：减少短期利润压力，允许长期投资。Grab在支付和外卖持续投入，2024年首次实现调整后EBITDA转正，但耗时三年。CEO需判断自身风险承受能力：若追求短期回报，应拒绝双重股权；若愿意陪跑，则需在交易前设定明确的里程碑（如用户数、单位经济指标），作为创始人保留控制的前提。此外，可引入业绩对赌：若未达标，部分B类股转为A类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四、投后整合的核心矛盾：假设落空与成本失控的延误成本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上市后，Grab增长假设未兑现：SPAC路演预测2023年营收约35亿美元，实际仅23.6亿美元，差距超30%。主因疫情后出行恢复不及预期、外卖增速从80%降至15%，以及补贴率维持高位。并购前对市场规模预估过于乐观，使用了TAM乘数，但忽略东南亚各国经济波动。CEO应要求保守场景测算，确保即使在最差情况下也能达到盈亏平衡。Grab的盈亏平衡点比预期晚两年，导致长期资本锁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成本失控严重：2021年销售与市场费用占营收45%，2023年仍占35%，远高于同业。技术研发投入未带来明显创新。投后整合中，应设立成本控制委员会，每季度审查单位经济模型，设定盈亏平衡时间表。Grab直到2023年Q4才实现调整后EBITDA转正，但自由现金流仍为负。若交割后立即剥离非核心资产或裁员，可缩短减亏周期。例如，2022年Grab花费2亿美元统一技术平台，本可通过前期规划节省30%成本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文化整合在SPAC中常被忽视：创始团队有硅谷文化，SPAC方无运营经验，导致战略由创始人主导但缺乏监督。CEO应建立跨职能整合团队，设定90天快速胜利目标（如关闭不盈利城市、重新谈判司机佣金）。Grab在8国运营，跨国管理复杂，尽调需覆盖当地劳动、数据、反垄断等。例如，印尼数据泄露罚款约200万美元，虽金额小但损声誉。交割前应制定本地化合规体系，避免罚款侵蚀利润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五、企业家并购决策启示：De-SPAC前必须验证的三个核心假设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第一，市场增长假设须经压力测试。</w:t>
      </w:r>
      <w:r>
        <w:rPr>
          <w:rFonts w:ascii="Times New Roman" w:hAnsi="Times New Roman" w:eastAsia="仿宋" w:cs="Times New Roman"/>
          <w:b w:val="0"/>
          <w:sz w:val="28"/>
        </w:rPr>
        <w:t>Grab预测东南亚数字消费市场2025年达3000亿美元，但实际受经济周期影响。并购前，使用保守场景（GDP减半、补贴退出）测算营收，并确保最差场景下仍能盈亏平衡。敏感性分析应针对用户增长率、ARPU、补贴率等变量，验证不同情景的现金流和估值弹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第二，交易条款嵌入业绩对赌与调整机制。</w:t>
      </w:r>
      <w:r>
        <w:rPr>
          <w:rFonts w:ascii="Times New Roman" w:hAnsi="Times New Roman" w:eastAsia="仿宋" w:cs="Times New Roman"/>
          <w:b w:val="0"/>
          <w:sz w:val="28"/>
        </w:rPr>
        <w:t>Grab缺乏对赌，创始人无绩效压力。建议设置与股价或EBITDA挂钩的earn-out：若交割后三年未达成里程碑，部分股份被没收或转为低投票权。同时，要求管理层在交割后90日内提交整合计划，包括成本削减、组织调整、关键人才保留。条款应保护买方并激励创始人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第三，投后整合预算和责任部门须交割前明确。</w:t>
      </w:r>
      <w:r>
        <w:rPr>
          <w:rFonts w:ascii="Times New Roman" w:hAnsi="Times New Roman" w:eastAsia="仿宋" w:cs="Times New Roman"/>
          <w:b w:val="0"/>
          <w:sz w:val="28"/>
        </w:rPr>
        <w:t>Grab初期未设专职决策机构，导致执行滞后。买方应在协议中约定：交割后成立联合整合委员会，买方指定CFO或COO进入管理层并赋予预算审批权。整合预算建议为交易对价1%-3%，用于系统对接、裁员补偿等。SPAC发起人在交易后作用衰减，买方若缺乏运营能力，应引入战略投资者提供资源。Grab的PIPE投资者如T. Rowe Price未深入参与，更好的做法是选择有东南亚经验的产业资本作为基石。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案例证明，De-SPAC不是上市捷径，而是高风险的并购。交易确定性依赖PIPE实力和估值合理性；标的筛选需穿透财务看护城河和单位经济；控制权结构需平衡创业者和投资者；投后整合必须提前规划并迅速执行。每一步都要自问：如果核心假设失效，有何退路？Grab三年才走出低谷，多数SPAC标的更未成功。并购的价值不在交易本身，而在后续的经营兑付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