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体外孵化与风险隔离：上市公司+PE并购基金如何为爱尔眼科构建千亿市值护城河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对于上市公司董事长与CEO而言，并购基金不仅是融资工具，更是战略杠杆。爱尔眼科自2014年起与多家PE合作设立多支并购基金，通过“上市公司出资20%-30% + PE管理+社会资本”的结构，在体外培育超过200家医院，待盈利成熟后再注入上市公司。这一模式实现了三重价值：风险隔离——新医院亏损期不并表，不影响上市公司利润；利益绑定——PE与管理团队共担风险；孵化效率——利用基金杠杆快速扩张。但模式成功的前提在于：上市公司必须对标的拥有强控制力（如优先收购权）、对基金治理有清晰约定、对投后整合有标准化体系。本文结合公开数据，拆解交易结构、关键条款与整合要点，为企业家提供可复用的决策框架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一、并购前必须验证的假设：上市公司是否具备“孵化+消化”的系统能力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上市公司设立并购基金培育资产，绝非简单的财务投资，而是战略能力的延伸。爱尔眼科在启动基金模式前，已建立起连锁医院运营的标准化体系，包括品牌、供应链、人才培训、IT系统等。据公告，2014年公司营收约24亿元，净利润约3.5亿元，门店约50家，但管理层意识到自建医院周期长（通常3-5年才盈利）、风险高，且直接收购可能拖累财报。因此，并购基金成为“加速器”。但企业家必须反思：自己的企业是否具备快速复制管理的能力？若缺乏，基金培育的资产可能只是“一群孤岛”，无法有效整合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前应重点验证三个假设。第一，标的的培育周期与上市公司盈利承受力匹配。爱尔眼科设定新医院盈利周期约2-3年，亏损期内基金承担，上市公司不受影响；若周期超3年，基金可能被迫减值。第二，上市公司是否有足够的人才储备去接管成熟资产。据公开资料，爱尔眼科每年培训约500名医生和100名管理骨干，确保每个新注入医院有合格团队。第三，基金治理是否清晰：谁对投资决策负责？日常运营谁管理？爱尔眼科的基金通常由PE任GP，但上市公司拥有重大事项否决权，且利用管理协议输出运营标准。这三条假设若不验证，基金可能沦为“失控的试验场”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二、交易结构设计的核心：风险隔离与利益绑定如何通过出资比例和治理条款实现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典型的“上市公司+PE”并购基金结构中，上市公司通常作为有限合伙人（LP）出资20%-30%，PE作为普通合伙人（GP）出资1%-5%并负责管理，其余资金向银行、保险等机构LP募集。例如，爱尔眼科与高瓴资本、弘晖资本在2016年设立的并购基金，总规模约10亿元，上市公司出资约2亿元，占比20%，GP出资0.5亿元，其余7.5亿元来自外部。这样的结构让上市公司以小资金撬动大资产，同时将大部分财务风险转移给其他LP。但代价是，上市公司需放弃一部分资产增值收益：当基金退出时，上市公司通常按出资比例分享收益，部分超额收益归GP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关键在于治理条款的锁定。爱尔眼科在每个基金协议中均写入“优先收购权”和“对赌回购”条款：当标的医院连续两年净利润达到约定标准（如1000万元），上市公司有权按约定估值（通常为年净利润的10-12倍）收购；若医院连续亏损超3年，PE需按原始投资加固定收益回购份额。这些条款避免了“被动接盘”风险。此外，基金层面设置“观察员席”由上市公司派人列席投委会，虽无投票权但可获取全部经营数据。交易结构设计的核心不是融资，而是控制权的不对称配置：用20%资金撬动100%的运营管理权和未来收购选择权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三、必须验证的经营假设：标的营收增长、盈利拐点与并表时机不能依赖预测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基金培育的资产在注入上市公司前，必须经历严格的验证。爱尔眼科对每个体外医院设定了三个硬性指标：门诊量年复合增长率不低于20%、营收达到盈亏平衡点（通常为年营收3000万元）、净利润率超过15%。据公告，公司累计孵化的200多家医院中，约80%在3年内达到门槛，而未被收购的医院通常因增长不达标或区域竞争加剧而被处置。这说明，标的筛选不能只看赛道，更需验证单店模型的可复制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企业家在尽调时应关注三个容易被忽略的假设。一是“人才供给假设”：新医院的管理团队从何而来？爱尔眼科采取“轮岗培训+总部派驻”，确保每个新店有1名院长、2名主任和1名财务总监来自总部，避免“诸侯割据”。二是“品牌溢出假设”：地级市患者是否认可总部的品牌？爱尔通过区域中心医院辐射模式，用三级医院背书。三是“医保支付风险”：体外医院未并表时，是否独立获取医保资质？若依赖上市公司统筹，则可能面临政策限制。这些假设必须在基金投资前用数据验证，否则注入后可能成为包袱。以某眼科同行为例，因盲目扩张导致多店亏损，最终低价剥离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易条款应锁定“盈利拐点”验证机制：例如约定基金存续期内（通常5-7年），若标的连续两年盈利且增长率高于行业平均，上市公司必须行使收购权；若低于则有权放弃。这避免了资产“烂在基金里”。同时，估值应绑定动态市盈率：以未来12个月预估净利润的8-10倍定价，而非固定倍数。爱尔眼科在多起收购中采用“年均净利润的10倍，但若净利润未达标，则按实际净利润调整对价”的条款，实现了风险共担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四、交割后整合的核心挑战：从基金资产到上市公司资产需要“管理输出+文化融合”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基金培育的资产注入上市公司后，最关键的是整合。很多企业家认为“基金已经帮我们养熟了，买来就能用”，但事实往往相反。爱尔眼科的经验是：注入后需进行18个月的“强管控期”，包括财务统一、采购集中、IT系统切换、品牌视觉标准化、KPI对齐。据公开数据，公司每收购一家医院，会派遣3-5人组成的整合小组驻场，平均耗费约500万元转型成本，但可使医院在注入后第一年营收提升20%-30%、净利润率提升3-5个百分点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整合的难点在于文化冲突。体外医院在运作上受PE管理，往往追求短期利润；而上市公司要求长期品牌价值和协同效应。例如，一些体外医院为冲利润，可能过度使用耗材或不进行品牌投放，注入后需纠正。交割后应建立“双向融入机制”：一方面，原医院管理层需接受上市公司培训并通过考核；另一方面，上市公司需保留其一定比例股权（通常15%-20%）作为长期激励。爱尔眼科在收购时，通常给原院长和管理团队预留10%-15%的股权，分3年解锁，绑定利益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此外，信息系统整合是基础。爱尔眼科按统一ERP系统，实现数据实时共享。若基金标的使用不同系统，交割后需在6个月内完成切换。这需要大量IT投入，但长期可降低管理成本。董事长在决策收购前，应评估自身整合团队的规模。据行业经验，每收购1亿元营收的资产，至少需要投入100万元整合费用和2名专职整合人员。没有这个预算，宁可不投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五、可复用的经验框架：上市公司+PE模式的成功需要“三个锁定”和“一个输出现状”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爱尔眼科的实践可以总结出三个锁定原则。第一，锁定退出通路：在基金设立时就要明确上市公司是否拥有优先收购权、收购触发条件（如净利润门槛）、估值调整机制。没有这些条款，基金可能成为“僵尸基金”。第二，锁定管理权：即使上市公司只出资20%，也必须通过管理协议获取标的的运营数据、人事任免否决权、品牌使用许可权。否则，PE与标的团队可能偏离上市公司战略。第三，锁定风险边界：约定当标的亏损超过一定比例（如注册资本30%）时，上市公司有权要求PE以原始投资加固定收益回购，防止价值毁灭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一个输出现状是指上市公司必须向基金体系输出标准化管理能力。这包括品牌、供应链、人才、IT、流程等。PE的角色是融资和治理，而上市公司的角色是“能力中心”。如果没有能力输出，基金培育的资产只是“孤岛”，无法整合。例如，某上市公司与PE设立5亿元基金收购10家区域性公司，但因无法输出统一管理，最终5家亏损、3家微利，整体回报为负。反观爱尔眼科，其能力输出体系是通过20年自营积累形成的，包括“合伙人计划”激励医生创业、总部审计小组巡回检查等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最终，并购基金模式不是“万能钥匙”，而是“杠杆工具”。对于董事长而言，决策前应自问：我的企业是否有足够的运营能力去输出？我的管理团队是否足够强大？我的资本规划是否允许基金存续期内的不确定性？如果答案肯定，那么上市公司+PE就是加速战略的引擎；否则，可能变成负担。据证券时报报道，2025年并购基金设立潮再起，但多数案例并未成功孵化资产，原因正是忽视了管理输出能力。爱尔眼科的模式证明：当上市公司具备“系统能力”时，并购基金可以成为产业整合的利器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