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先投后募交易结构：GP自有资金先行锁定控股权，再以专项基金置换，降低上市公司博弈成本</w:t>
      </w:r>
    </w:p>
    <w:p>
      <w:pPr>
        <w:spacing w:line="240" w:lineRule="auto"/>
        <w:ind w:firstLine="560"/>
        <w:jc w:val="both"/>
      </w:pPr>
      <w:r>
        <w:rPr>
          <w:rFonts w:ascii="Times New Roman" w:hAnsi="Times New Roman" w:eastAsia="仿宋" w:cs="Times New Roman"/>
          <w:b w:val="0"/>
          <w:sz w:val="28"/>
        </w:rPr>
        <w:t>在并购交易中，资金安排往往是最大风险源。GP先投后募模式打破了传统并购基金必须先募后投的惯例，允许基金管理人用自有资金先行锁定交易，再以基金募集资金替换。这一结构大幅缩短了交易周期，但同时也对GP的资本实力和投后产业能力提出了严苛要求。对于计划以控制权获取带动产业整合的企业家而言，本案例揭示了并购前需验证的三大环节：标的公司的治理透明度、交易结构的合规性、以及投后整合的资源匹配度。</w:t>
      </w:r>
    </w:p>
    <w:p>
      <w:pPr>
        <w:spacing w:before="160" w:after="80"/>
        <w:ind w:firstLine="200"/>
      </w:pPr>
      <w:r>
        <w:rPr>
          <w:rFonts w:ascii="Times New Roman" w:hAnsi="Times New Roman" w:eastAsia="仿宋" w:cs="Times New Roman"/>
          <w:b/>
          <w:sz w:val="28"/>
        </w:rPr>
        <w:t>一、GP自有资金先行收购：用短期流动性赌长期控制权，资金链压力是最大暗礁</w:t>
      </w:r>
    </w:p>
    <w:p>
      <w:pPr>
        <w:spacing w:line="240" w:lineRule="auto"/>
        <w:ind w:firstLine="560"/>
        <w:jc w:val="both"/>
      </w:pPr>
      <w:r>
        <w:rPr>
          <w:rFonts w:ascii="Times New Roman" w:hAnsi="Times New Roman" w:eastAsia="仿宋" w:cs="Times New Roman"/>
          <w:b w:val="0"/>
          <w:sz w:val="28"/>
        </w:rPr>
        <w:t>本次交易中，GP以自有资金约5亿元（据公告推算）先行受让上市公司原控股股东持有的25%股权，每股作价约10元，对应整体估值约20亿元。这一价格相较于停牌前股价溢价约15%，属于正常控制权溢价范围。GP的自有资金来源于管理人自有现金及少数合伙人过桥贷款，期限设定为6个月。这种结构意味着GP必须在半年内完成专项基金的设立与募资，否则将面临被强制平仓或违约风险。</w:t>
      </w:r>
    </w:p>
    <w:p>
      <w:pPr>
        <w:spacing w:line="240" w:lineRule="auto"/>
        <w:ind w:firstLine="560"/>
        <w:jc w:val="both"/>
      </w:pPr>
      <w:r>
        <w:rPr>
          <w:rFonts w:ascii="Times New Roman" w:hAnsi="Times New Roman" w:eastAsia="仿宋" w:cs="Times New Roman"/>
          <w:b w:val="0"/>
          <w:sz w:val="28"/>
        </w:rPr>
        <w:t>GP采用这一模式的核心动机是避免与上市公司原股东就交易确定性产生拉锯。传统先募后投模式下，基金需要先完成募集再与被收购方谈判，但募集周期长、不确定性高，原股东可能因等待而转向其他买家。先投后募让GP能以现金快速锁定控股权，如同“一手交钱一手交货”，大幅降低了交易失败的概率。但代价是GP需要承担最初的流动性风险和短期融资成本。</w:t>
      </w:r>
    </w:p>
    <w:p>
      <w:pPr>
        <w:spacing w:line="240" w:lineRule="auto"/>
        <w:ind w:firstLine="560"/>
        <w:jc w:val="both"/>
      </w:pPr>
      <w:r>
        <w:rPr>
          <w:rFonts w:ascii="Times New Roman" w:hAnsi="Times New Roman" w:eastAsia="仿宋" w:cs="Times New Roman"/>
          <w:b w:val="0"/>
          <w:sz w:val="28"/>
        </w:rPr>
        <w:t>对于企业家而言，这一设计的关键启示在于：如果自身资本实力不足，切勿盲目模仿。GP自有资金通常只占基金规模的10%-20%，在交易规模超过自身净资产的情况下，任何募资延迟都可能导致个人破产或基金清算。并购前应确保GP与过桥资金方已签订不可撤销的融资承诺函，且基金LP的意向认购额至少达到交易对价的80%以上。</w:t>
      </w:r>
    </w:p>
    <w:p>
      <w:pPr>
        <w:spacing w:line="240" w:lineRule="auto"/>
        <w:ind w:firstLine="560"/>
        <w:jc w:val="both"/>
      </w:pPr>
      <w:r>
        <w:rPr>
          <w:rFonts w:ascii="Times New Roman" w:hAnsi="Times New Roman" w:eastAsia="仿宋" w:cs="Times New Roman"/>
          <w:b w:val="0"/>
          <w:sz w:val="28"/>
        </w:rPr>
        <w:t>据公告披露，本次GP在签署股权转让协议时，同步与三家机构LP达成了认缴意向，合计金额约4.2亿元，覆盖了交易对价的84%。这一假设为后续募资提供了足够缓冲，也是交易能够快速落定的重要原因。企业家在复制此模式时，应至少提前锁定过桥资金渠道，并预留两倍以上的备用流动性。</w:t>
      </w:r>
    </w:p>
    <w:p>
      <w:pPr>
        <w:spacing w:before="160" w:after="80"/>
        <w:ind w:firstLine="200"/>
      </w:pPr>
      <w:r>
        <w:rPr>
          <w:rFonts w:ascii="Times New Roman" w:hAnsi="Times New Roman" w:eastAsia="仿宋" w:cs="Times New Roman"/>
          <w:b/>
          <w:sz w:val="28"/>
        </w:rPr>
        <w:t>二、标的筛选的核心假设：上市公司必须主业清晰、治理透明，而非仅为一“壳”</w:t>
      </w:r>
    </w:p>
    <w:p>
      <w:pPr>
        <w:spacing w:line="240" w:lineRule="auto"/>
        <w:ind w:firstLine="560"/>
        <w:jc w:val="both"/>
      </w:pPr>
      <w:r>
        <w:rPr>
          <w:rFonts w:ascii="Times New Roman" w:hAnsi="Times New Roman" w:eastAsia="仿宋" w:cs="Times New Roman"/>
          <w:b w:val="0"/>
          <w:sz w:val="28"/>
        </w:rPr>
        <w:t>并非所有上市公司都适合GP先投后募模式。本次收购的标的公司主营业务为智能装备制造，近三年营收保持在8-12亿元，净利润约3000-5000万元，资产负债率低于50%，现金流健康，且无重大诉讼或违规记录。这些基本面条件是GP愿意先用自有资金下注的前提。如果标的是负债累累、主业亏损的“壳公司”，GP在无法募集到足够资金时，会陷入“套牢”困境。</w:t>
      </w:r>
    </w:p>
    <w:p>
      <w:pPr>
        <w:spacing w:line="240" w:lineRule="auto"/>
        <w:ind w:firstLine="560"/>
        <w:jc w:val="both"/>
      </w:pPr>
      <w:r>
        <w:rPr>
          <w:rFonts w:ascii="Times New Roman" w:hAnsi="Times New Roman" w:eastAsia="仿宋" w:cs="Times New Roman"/>
          <w:b w:val="0"/>
          <w:sz w:val="28"/>
        </w:rPr>
        <w:t>并购前必须验证的三大指标包括：上市公司的合规记录（是否被证监会立案调查、是否ST）、主营业务的市场竞争力（毛利率、市占率、客户集中度）、以及管理层的合作意愿（原大股东是否愿意留任或配合交接）。本次交易中，原控股股东承诺在交割后继续担任上市公司名誉顾问三年，并配合GP完成业务整合，这大大降低了投后的管理摩擦。</w:t>
      </w:r>
    </w:p>
    <w:p>
      <w:pPr>
        <w:spacing w:line="240" w:lineRule="auto"/>
        <w:ind w:firstLine="560"/>
        <w:jc w:val="both"/>
      </w:pPr>
      <w:r>
        <w:rPr>
          <w:rFonts w:ascii="Times New Roman" w:hAnsi="Times New Roman" w:eastAsia="仿宋" w:cs="Times New Roman"/>
          <w:b w:val="0"/>
          <w:sz w:val="28"/>
        </w:rPr>
        <w:t>交易结构设计中还包含一项关键保护条款：GP可在尽调期间以10%违约金单方面退出，这相当于一个“悔棋权”。尽调发现上市公司存在未披露担保、财务造假等风险时，GP能够及时止损。据公开资料，GP在交割前进行了为期两个月的一比一尽调，覆盖了财务报表、客户订单、供应链、法务合规四个维度，最终确认标的符合收购标准。</w:t>
      </w:r>
    </w:p>
    <w:p>
      <w:pPr>
        <w:spacing w:line="240" w:lineRule="auto"/>
        <w:ind w:firstLine="560"/>
        <w:jc w:val="both"/>
      </w:pPr>
      <w:r>
        <w:rPr>
          <w:rFonts w:ascii="Times New Roman" w:hAnsi="Times New Roman" w:eastAsia="仿宋" w:cs="Times New Roman"/>
          <w:b w:val="0"/>
          <w:sz w:val="28"/>
        </w:rPr>
        <w:t>企业家在寻找类似标的时，应优先选择市值在30亿元以下、股权相对分散且主业有增长潜力的公司。这类公司原控股股东较容易谈判，且控股权收购所需资金量适中。同时，应关注上市公司的员工人数和社保缴纳情况，避免存在隐性劳动纠纷。本次标的公司员工约2000人，社保缴纳率达95%，合规性较好。</w:t>
      </w:r>
    </w:p>
    <w:p>
      <w:pPr>
        <w:spacing w:before="160" w:after="80"/>
        <w:ind w:firstLine="200"/>
      </w:pPr>
      <w:r>
        <w:rPr>
          <w:rFonts w:ascii="Times New Roman" w:hAnsi="Times New Roman" w:eastAsia="仿宋" w:cs="Times New Roman"/>
          <w:b/>
          <w:sz w:val="28"/>
        </w:rPr>
        <w:t>三、交易条款精妙设计：分段付款与对赌豁免，让GP以最小风险锁定最大权益</w:t>
      </w:r>
    </w:p>
    <w:p>
      <w:pPr>
        <w:spacing w:line="240" w:lineRule="auto"/>
        <w:ind w:firstLine="560"/>
        <w:jc w:val="both"/>
      </w:pPr>
      <w:r>
        <w:rPr>
          <w:rFonts w:ascii="Times New Roman" w:hAnsi="Times New Roman" w:eastAsia="仿宋" w:cs="Times New Roman"/>
          <w:b w:val="0"/>
          <w:sz w:val="28"/>
        </w:rPr>
        <w:t>交易条款的支付方式采用了“签约支付15%、过户支付35%、交割后30日内支付剩余50%”的分段结构，与募资进度完美挂钩。GP在签约后仅需出资7500万元，即可启动尽职调查和各项行政审批；待过户时再支付1.75亿元；最后的2.5亿元则专项基金几乎已到位，GP可使用LP资金支付，从而实现了自有资金的循环利用。</w:t>
      </w:r>
    </w:p>
    <w:p>
      <w:pPr>
        <w:spacing w:line="240" w:lineRule="auto"/>
        <w:ind w:firstLine="560"/>
        <w:jc w:val="both"/>
      </w:pPr>
      <w:r>
        <w:rPr>
          <w:rFonts w:ascii="Times New Roman" w:hAnsi="Times New Roman" w:eastAsia="仿宋" w:cs="Times New Roman"/>
          <w:b w:val="0"/>
          <w:sz w:val="28"/>
        </w:rPr>
        <w:t>本次交易没有设置传统的业绩对赌条款，这是GP与上市公司原股东协商的结果。原股东认为其已退出经营，不应再承担未来业绩风险；GP则认为对赌容易诱发短期行为，且自身入住后将主导经营，对赌实际上意义不大。双方约定以“资产减值测试机制”替代：如果收购后24个月内上市公司的平均市值低于交易对价对应的估值，原股东需向GP补偿差额的20%。这既保护了GP的下行风险，又不至于激励原股东干扰经营。</w:t>
      </w:r>
    </w:p>
    <w:p>
      <w:pPr>
        <w:spacing w:line="240" w:lineRule="auto"/>
        <w:ind w:firstLine="560"/>
        <w:jc w:val="both"/>
      </w:pPr>
      <w:r>
        <w:rPr>
          <w:rFonts w:ascii="Times New Roman" w:hAnsi="Times New Roman" w:eastAsia="仿宋" w:cs="Times New Roman"/>
          <w:b w:val="0"/>
          <w:sz w:val="28"/>
        </w:rPr>
        <w:t>GP在基金层面的份额设计同样精巧。专项基金采用优先劣后结构：GP作为劣后级LP出资20%，优先级LP出资80%，优先级享有每年8%的固定收益，GP享有超额收益的80%。这一安排使得GP在基金层面实现了杠杆效应：如果上市公司未来价值增长，GP能以20%的本金撬动80%的收益，但同时承担本金损失的最大风险。</w:t>
      </w:r>
    </w:p>
    <w:p>
      <w:pPr>
        <w:spacing w:line="240" w:lineRule="auto"/>
        <w:ind w:firstLine="560"/>
        <w:jc w:val="both"/>
      </w:pPr>
      <w:r>
        <w:rPr>
          <w:rFonts w:ascii="Times New Roman" w:hAnsi="Times New Roman" w:eastAsia="仿宋" w:cs="Times New Roman"/>
          <w:b w:val="0"/>
          <w:sz w:val="28"/>
        </w:rPr>
        <w:t>据披露，基金存续期为5年，前3年为投资期，后2年为退出期。GP承诺在基金退出前不从上市公司收取管理费，而是通过基金收取1.5%的管理费和20%的业绩报酬。这一安排确保了GP与基金LP的利益一致，避免GP通过关联交易掏空上市公司。对于收购方而言，这种自我约束是增强LP信心的关键。</w:t>
      </w:r>
    </w:p>
    <w:p>
      <w:pPr>
        <w:spacing w:before="160" w:after="80"/>
        <w:ind w:firstLine="200"/>
      </w:pPr>
      <w:r>
        <w:rPr>
          <w:rFonts w:ascii="Times New Roman" w:hAnsi="Times New Roman" w:eastAsia="仿宋" w:cs="Times New Roman"/>
          <w:b/>
          <w:sz w:val="28"/>
        </w:rPr>
        <w:t>四、投后承接的成败：GP必须从财务投资人转型为产业运营者，否则基金将无法退出</w:t>
      </w:r>
    </w:p>
    <w:p>
      <w:pPr>
        <w:spacing w:line="240" w:lineRule="auto"/>
        <w:ind w:firstLine="560"/>
        <w:jc w:val="both"/>
      </w:pPr>
      <w:r>
        <w:rPr>
          <w:rFonts w:ascii="Times New Roman" w:hAnsi="Times New Roman" w:eastAsia="仿宋" w:cs="Times New Roman"/>
          <w:b w:val="0"/>
          <w:sz w:val="28"/>
        </w:rPr>
        <w:t>收购完成后，GP面临的最大挑战是如何提升上市公司价值，以实现基金在5年内退出的目标。GP的管理团队迅速改组了上市公司董事会，派驻三名董事，其中一人担任董事长和总经理，另外两人分管财务和战略。GP同时从外部聘请了一位具有20年智能装备行业经验的CEO，负责日常运营。原总经理则转任首席技术官，保留了技术团队的核心。</w:t>
      </w:r>
    </w:p>
    <w:p>
      <w:pPr>
        <w:spacing w:line="240" w:lineRule="auto"/>
        <w:ind w:firstLine="560"/>
        <w:jc w:val="both"/>
      </w:pPr>
      <w:r>
        <w:rPr>
          <w:rFonts w:ascii="Times New Roman" w:hAnsi="Times New Roman" w:eastAsia="仿宋" w:cs="Times New Roman"/>
          <w:b w:val="0"/>
          <w:sz w:val="28"/>
        </w:rPr>
        <w:t>GP在投后第一年重点推进了两件事：一是将上市公司原本分散的四个事业部整合为两大利润中心，削减了15%的管理人员；二是利用GP的产业资源，引进了两家与上市公司业务互补的初创企业作为战略客户，预计三年内可新增订单约1.5亿元。这些举措在短期内能够提升净利润，从而支撑股价，为基金退出创造空间。</w:t>
      </w:r>
    </w:p>
    <w:p>
      <w:pPr>
        <w:spacing w:line="240" w:lineRule="auto"/>
        <w:ind w:firstLine="560"/>
        <w:jc w:val="both"/>
      </w:pPr>
      <w:r>
        <w:rPr>
          <w:rFonts w:ascii="Times New Roman" w:hAnsi="Times New Roman" w:eastAsia="仿宋" w:cs="Times New Roman"/>
          <w:b w:val="0"/>
          <w:sz w:val="28"/>
        </w:rPr>
        <w:t>但投后整合的风险依然显著。GP团队本身缺乏制造业管理经验，在供应链管理和成本控制上可能存在盲区。本次交易中，GP特意聘请了第三方管理咨询公司进行为期一年的驻场辅导，每季度出具运营改进建议。这一做法值得借鉴：并购后应在90天内完成组织架构调整和关键人员留任，否则核心人才流失将导致整合失败。</w:t>
      </w:r>
    </w:p>
    <w:p>
      <w:pPr>
        <w:spacing w:line="240" w:lineRule="auto"/>
        <w:ind w:firstLine="560"/>
        <w:jc w:val="both"/>
      </w:pPr>
      <w:r>
        <w:rPr>
          <w:rFonts w:ascii="Times New Roman" w:hAnsi="Times New Roman" w:eastAsia="仿宋" w:cs="Times New Roman"/>
          <w:b w:val="0"/>
          <w:sz w:val="28"/>
        </w:rPr>
        <w:t>基金退出路径的规划同样重要。GP计划通过两种方式退出：一是上市公司市值增长后，通过大宗交易减持；二是引入战略投资人收购GP所持股份。据公告，GP已与两家产业基金签署了意向备忘录，若上市公司未来两年净利润达到8000万元，产业基金将以不低于现金对价1.5倍的价格受让GP的股权。这一远期协议为LP提供了看得见的退出安全垫。</w:t>
      </w:r>
    </w:p>
    <w:p>
      <w:pPr>
        <w:spacing w:before="160" w:after="80"/>
        <w:ind w:firstLine="200"/>
      </w:pPr>
      <w:r>
        <w:rPr>
          <w:rFonts w:ascii="Times New Roman" w:hAnsi="Times New Roman" w:eastAsia="仿宋" w:cs="Times New Roman"/>
          <w:b/>
          <w:sz w:val="28"/>
        </w:rPr>
        <w:t>五、监管红线与合规防范：要约收购义务、信披节奏、关联交易必须零失误</w:t>
      </w:r>
    </w:p>
    <w:p>
      <w:pPr>
        <w:spacing w:line="240" w:lineRule="auto"/>
        <w:ind w:firstLine="560"/>
        <w:jc w:val="both"/>
      </w:pPr>
      <w:r>
        <w:rPr>
          <w:rFonts w:ascii="Times New Roman" w:hAnsi="Times New Roman" w:eastAsia="仿宋" w:cs="Times New Roman"/>
          <w:b w:val="0"/>
          <w:sz w:val="28"/>
        </w:rPr>
        <w:t>本次收购涉及的控制权变更需要严格遵守《上市公司收购管理办法》。GP以25%的持股比例触发要约收购义务，但利用“30%以下比例且未导致实际控制人变更”的豁免条款，通过向证监会申请获得了豁免。GP在申报材料中详细说明了资金来源的合法性、不存在代持结构，以及后续12个月内不减持的承诺，最终获批。</w:t>
      </w:r>
    </w:p>
    <w:p>
      <w:pPr>
        <w:spacing w:line="240" w:lineRule="auto"/>
        <w:ind w:firstLine="560"/>
        <w:jc w:val="both"/>
      </w:pPr>
      <w:r>
        <w:rPr>
          <w:rFonts w:ascii="Times New Roman" w:hAnsi="Times New Roman" w:eastAsia="仿宋" w:cs="Times New Roman"/>
          <w:b w:val="0"/>
          <w:sz w:val="28"/>
        </w:rPr>
        <w:t>信息披露节奏的把握是另一个关键节点。GP在签署意向协议的当日傍晚即发布了停牌公告，随后在两周内陆续披露了股权转让协议、专项基金设立计划和尽调结果，避免了信息不对称导致的股价异动。复牌后上市公司股价仅微跌3%，说明市场对交易结构认可度较高。如果信息披露不及时，可能会面临内幕交易调查。</w:t>
      </w:r>
    </w:p>
    <w:p>
      <w:pPr>
        <w:spacing w:line="240" w:lineRule="auto"/>
        <w:ind w:firstLine="560"/>
        <w:jc w:val="both"/>
      </w:pPr>
      <w:r>
        <w:rPr>
          <w:rFonts w:ascii="Times New Roman" w:hAnsi="Times New Roman" w:eastAsia="仿宋" w:cs="Times New Roman"/>
          <w:b w:val="0"/>
          <w:sz w:val="28"/>
        </w:rPr>
        <w:t>关联交易是监管重点。GP同时作为基金管理人和上市公司大股东，其管理费收入可能构成关联交易。本次交易中，GP明确说明基金不向上市公司收取任何费用，GP的报酬全部来自基金层面，从而切断了通过上市公司向GP输送利益的路径。此外，GP在基金层面设定了独立投资决策委员会，委员会中有一名独立委员由基金LP提名，确保决策制衡。</w:t>
      </w:r>
    </w:p>
    <w:p>
      <w:pPr>
        <w:spacing w:line="240" w:lineRule="auto"/>
        <w:ind w:firstLine="560"/>
        <w:jc w:val="both"/>
      </w:pPr>
      <w:r>
        <w:rPr>
          <w:rFonts w:ascii="Times New Roman" w:hAnsi="Times New Roman" w:eastAsia="仿宋" w:cs="Times New Roman"/>
          <w:b w:val="0"/>
          <w:sz w:val="28"/>
        </w:rPr>
        <w:t>对于计划采用类似结构的企业家，必须提前聘请专业法律顾问梳理合规要求，尤其是在“一票否决权”、“优先认购权”等条款上避免与证监会指引冲突。同时，应预留至少三个月的审批时间，因为要约豁免申请可能需要反馈多轮。本次交易从签约到最终过户历时四个月，其中监管审批占用了近两个月，属于正常周期。企业家要在时间表上留出缓冲。</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