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借壳并非终局，整合才是价值起点：中国能建分拆易普力注入南岭民爆的交易设计与关键假设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手握优质子公司的产业集团董事长而言，分拆上市是释放资产价值、激发管理层动力的有效路径，但路径选择与执行细节决定成败。本案例中，中国能建将旗下民爆龙头易普力（工业炸药产能约34万吨/年，2021年净利润约4.5亿元）通过借壳南岭民爆实现上市，交易作价73.5亿元，全部以股份支付，配套募资不超过13.39亿元。这一结构如何避免现金压力、锁定控制权、并通过业绩承诺保障中小股东？并购前必须验证标的资产的独立性和合规性，交易结构需平衡各方利益，投后整合须迅速释放协同。对于CEO，本案例的借鉴价值在于：分拆上市前的业务重组是“准生证”，借壳交易中的对价设计是“安全绳”，交割后的管理融合是“价值引擎”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一、并购前必须扫清的障碍：业务重组与资产独立性是分拆上市的前提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国能建分拆易普力并借壳南岭民爆的决策，始于对资产独立性的系统梳理。易普力作为中国能建旗下民爆业务核心子公司，拥有工业炸药产能约34万吨/年，市场覆盖全国20余省，但与中国能建在工程爆破领域存在潜在同业竞争，且部分关联交易占比不低。为满足分拆上市监管要求，中国能建对易普力进行了业务重组：将自身工程爆破业务剥离并注入易普力，使标的成为民爆一体化服务商，同时清理关联交易、规范资金往来。据公开资料，重组后的易普力独立运营能力显著提升，2021年实现营业收入约45亿元，净利润约4.5亿元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上市公司CEO，判断一个业务板块是否适合分拆，核心验证三个问题：第一，标的资产能否脱离母公司独立面对市场竞争？第二，是否存在不可分割的共享资源（如IT系统、采购渠道、品牌）？第三，管理团队是否具备独立决策能力？中国能建的做法是：通过资产重组建立独立的法人治理结构，将原隶属于母公司的工程爆破业务划归易普力，使标的业务链条完整。同时，在借壳前完成了南岭民爆的非民爆资产剥离，确保壳公司资产干净。这一前置工作耗时约一年，但降低了监管问询风险，为后续交易顺利推进奠定了基础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借壳上市相较于IPO，审核周期虽有缩短，但2022年A股仅完成两例借壳，监管对交易实质、资产完整性和持续经营能力的关注不减。本案例中，南岭民爆作为上市壳公司，原本主营民用爆破器材生产，与易普力高度协同，且市值较小（约30亿元）、股权结构清晰，适合作为整合平台。选择“产业型借壳”而非“纯壳交易”，使得交易后上市公司规模扩大、业务聚焦，更容易获得监管认可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二、交易结构设计的精妙之处：股份对价规避现金压力，配套募资锁定发展动能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本次交易的核心结构是：南岭民爆向中国能建发行股份购买其持有的易普力100%股权，交易作价73.5亿元，股份发行价格经除息调整为5.01元/股；同时，向不超过35名特定投资者发行股份募集配套资金不超过13.39亿元。发行完成后，中国能建持有南岭民爆约65.5%股权，成为控股股东，湖南省国资委退出。这一设计至少解决了三个关键问题：第一，全部以股份支付，避免了数十亿元的现金流出，适合央企投资后获得上市公司股权作为长期持有资产；第二，配套募资明确投向民爆领域研发、产能建设和数字化转型，为易普力后续发展注入资金；第三，发行价格锁定，避免了股价波动对交易公平性的干扰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产业集团负责人，类似交易中应重点关注三个条款。一是发行股份的定价基准：本案例选用董事会决议公告日前20个交易日均价，在2022年市场低点锁定5.01元/股，对卖方有利，但考虑到长期持有，股价稀释效应可接受。二是配套募资的用途：必须与标的资产主营业务相关，且不能用于补偿业绩，此处用于产能建设和研发，符合监管引导。三是控制权稳定性：中国能建获得65.5%股权，比例较高，相当于一次单方整体上市，后续可择机引入战略投资者。此外，交易中未设置业绩对赌的现金补偿，而是以股份回购为主，降低了上市公司现金压力，但若业绩不达标，股价下跌将使回购补偿的实际价值缩水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借壳上市审核中，交易所重点关注“经营性资产是否完整”以及“是否存在规避IPO条件的‘类借壳’”。本案例中，易普力的资产总额、营业收入、净利润指标均超过南岭民爆的100%，构成重组上市，但中国能建作为央企，实控人未发生变化，借壳的合理性得以通过。此外，前期的业务重组和南岭民爆资产剥离，使交易资产边界清晰，减少了审核障碍。对于计划借壳的集团，应提前半年以上准备资产重组方案，确保历史沿革清晰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三、估值假设必须经过压力测试：业绩承诺的底层逻辑与周期风险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易普力100%股权作价73.5亿元，对应2021年净利润约4.5亿元，静态PE约16.3倍；若按2022年预测净利润约5.5亿元计算，动态PE约13.4倍。民爆行业属于特许经营行业，易普力凭借头部产能和央企背景，享受一定估值溢价。但估值模型中的关键假设是：产能利用率从当前的约70%提升至85%以上，以及区域整合带来的销售费用节约。中国能建在业绩承诺中承诺：易普力2022年至2024年扣非净利润累计不低于13.5亿元，年均约4.5亿元。这一承诺基于现有在手订单和产能扩建计划，但民爆行业与宏观经济周期（基建投资、矿山开采）高度相关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CEO，估值假设必须经过多情景验证。首先，应验证业绩承诺的合理性：易普力2021年净利润4.5亿元，承诺年均4.5亿元看似保守，但考虑到2022年国内经济增速放缓，实际上存在下行风险。其次，补偿机制的设计：根据公开方案，若业绩未达标，中国能建需以股份回购进行补偿，按当年未完成比例折算股份。这种方式的优劣在于：当股价低估时，回购股份对上市公司有利，但对承诺方可能缺乏足够制约。最后，估值还需考虑技术替代风险：电子雷管全面推广可能挤压传统导爆管雷管市场，易普力需提前布局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本案例中，估值约16倍PE，低于民爆行业上市公司平均20-25倍PE，反映了借壳交易中控制权溢价相对较低，且壳公司市值较小的因素。但并购前仍应做原材料价格波动敏感性分析：硝酸铵占炸药成本约70%，价格波动直接影响毛利率。假设硝酸铵价格上涨10%，易普力净利润将下降约12%，可能影响业绩承诺达标。此外，环保政策趋严可能增加安全投入成本。这些风险在交易文件中的“重大风险提示”应充分披露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四、投后整合的关键动作：管理团队留任与业务协同的百日计划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完成后，南岭民爆更名为“易普力”，中国能建成为控股股东。整合的第一要务是管理团队稳定。原南岭民爆总经理和财务总监等关键职位多数留任，同时易普力核心管理团队（包括董事长、总经理）进入上市公司董事会和管理层，形成新旧融合的管理架构。据公开报道，整合初期采取“双品牌、双体系”策略，逐步统一采购和销售流程，避免因文化冲突导致核心人才流失。2023年，上市公司发布首份年报：营收约75亿元，净利润约6亿元，较交易前南岭民爆体量（约15亿元营收、0.5亿元净利润）大幅增长，整合初步实现1+1&gt;2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业务协同方面，整合的重点包括：一是产能互补——易普力在湖南、湖北等地的炸药生产线与南岭民爆在广东、广西的产能形成区域覆盖，降低物流成本；二是销售渠道共享——南岭民爆原有的省级民爆经销商网络与易普力的矿山直供模式结合，提升客户覆盖率；三是研发集中——将知识产权统一管理，避免重复投入。整合中面临的主要风险是客户流失：民爆终端用户对安全性要求极高，若整合中服务中断，可能失去大客户。中国能建为此制定了“客户拜访计划”，由原易普力区域负责人一对一维护关键客户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企业家，投后整合应建立明确的“百日计划”和定期复盘机制。本案例中，整合团队在交割后前三个月完成了财务并表、信息系统对接、组织架构调整；中间三个月推进了采购、销售、研发三大一体化管理；最后三个月启动了产能升级项目。每个阶段设置考核指标，如客户留存率、成本降低率、员工离职率。值得注意的是，国有上市公司还需遵守关联交易审批制度：交易前中国能建与易普力之间的关联交易需经独立董事审议并披露，整合后关联交易金额可能增加，必须提前规划，避免违规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五、启示：分拆上市类并购的三大成功要素与四重风险防线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本案例中可以提炼出分拆上市借壳的三项关键成功要素。第一，标的资产的独立性和成长性是基础：只有具备独立面对市场竞争、有自主技术和管理团队的资产，才能脱离母体后持续发展。中国能建耗时一年进行业务重组，正是为此。第二，交易结构设计须兼顾各方利益：全部股份支付避免现金压力，配套募资为发展提供弹药，业绩承诺保障中小股东，股份锁定（中国能建承诺36个月内不转让）稳定市场预期。第三，投后整合须迅速释放协同效应：产能、渠道、研发的整合降低了成本，提升了综合竞争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风险防控方面，应建立四重防线。并购前应验证：标的资产是否存在隐性负债、环保合规、技术依赖等潜在问题。本案例中，南岭民爆在交易前已剥离非民爆业务，避免了历史遗留风险。交易条款应锁定：业绩补偿方式应以股份回购为主，辅以现金补偿；同时约定管理层股权激励，留住核心团队。交割后应建立：定期财务报告机制（每季度）、内部审计（每半年）、战略复盘会（每年），确保整合方向不偏离。此外，应关注商誉减值风险：本次交易确认了约35亿元商誉，若未来业绩不达预期，可能面临减值压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上市公司CEO，这一案例的最终启示是：分拆上市不是终点，而是新的起点。借壳上市缩短了上市进程，但也带来了管理融合和业绩对赌的双重压力。只有将资本运作与产业经营紧密结合，才能实现价值的最大化。建议在推进类似交易前，聘请专业第三方进行独立性和估值验证，设置多情景压力测试，并提前制定整合大纲。央企背景在本案例中虽降低了政策风险，但市场化运作的细节仍决定成败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