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广州达安基因收购广永科技100%股权：控制权与治理安排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本案例涉及广州达安基因股份有限公司（下称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广州达安基因</w:t>
      </w:r>
      <w:r>
        <w:rPr>
          <w:rFonts w:ascii="Times New Roman" w:hAnsi="Times New Roman" w:eastAsia="Times New Roman" w:cs="Times New Roman"/>
          <w:b w:val="0"/>
          <w:sz w:val="28"/>
        </w:rPr>
        <w:t>”</w:t>
      </w:r>
      <w:r>
        <w:rPr>
          <w:rFonts w:ascii="Times New Roman" w:hAnsi="Times New Roman" w:eastAsia="仿宋" w:cs="Times New Roman"/>
          <w:b w:val="0"/>
          <w:sz w:val="28"/>
        </w:rPr>
        <w:t>）收购广永科技100%股权（下称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广永科技100%股权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股份协议转让完成过户登记暨间接控股股东变更完成的公告》，目标线索为证券代码：002030证券简称：达安基因公告编号：2026-040广州达安基因股份有限公司关于股份协议转让完成过户登记暨间接控股股东变更完成的公告本公司及董事会全体成员保证信息披露内容的真实、准确、完整，没有虚假记载、误导性陈述或重大遗漏。；重要内容提示： 1、广州达安基因股份有限公司（下称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达安基因</w:t>
      </w:r>
      <w:r>
        <w:rPr>
          <w:rFonts w:ascii="Times New Roman" w:hAnsi="Times New Roman" w:eastAsia="Times New Roman" w:cs="Times New Roman"/>
          <w:b w:val="0"/>
          <w:sz w:val="28"/>
        </w:rPr>
        <w:t>”</w:t>
      </w:r>
      <w:r>
        <w:rPr>
          <w:rFonts w:ascii="Times New Roman" w:hAnsi="Times New Roman" w:eastAsia="仿宋" w:cs="Times New Roman"/>
          <w:b w:val="0"/>
          <w:sz w:val="28"/>
        </w:rPr>
        <w:t>）收到广州医药集团有限公司（下称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广药。识别这起交易的第一道门槛是分清买方。</w:t>
      </w:r>
    </w:p>
    <w:p>
      <w:pPr>
        <w:spacing w:before="0" w:after="0" w:line="240" w:lineRule="auto" w:beforeLines="0" w:afterLines="0"/>
        <w:jc w:val="left"/>
        <w:ind w:firstLineChars="200"/>
      </w:pPr>
      <w:r>
        <w:rPr>
          <w:rFonts w:ascii="Times New Roman" w:hAnsi="Times New Roman" w:eastAsia="仿宋" w:cs="Times New Roman"/>
          <w:b/>
          <w:sz w:val="28"/>
        </w:rPr>
        <w:t>一、被取得控制权的是上市平台，交易方向须先纠偏</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70,172,302股；5%；70,172,304股；140,344,606股；10%；100%；协议转让；股权/股份受让；时间线包括交易状态/完成年份：2026-09-05；买方动机：证券代码：002030证券简称：达安基因公告编号：2026-040广州达安基因股份有限公司关于股份协议转让完成过户登记暨；本案常被概括为</w:t>
      </w:r>
      <w:r>
        <w:rPr>
          <w:rFonts w:ascii="Times New Roman" w:hAnsi="Times New Roman" w:eastAsia="Times New Roman" w:cs="Times New Roman"/>
          <w:b w:val="0"/>
          <w:sz w:val="28"/>
        </w:rPr>
        <w:t>“</w:t>
      </w:r>
      <w:r>
        <w:rPr>
          <w:rFonts w:ascii="Times New Roman" w:hAnsi="Times New Roman" w:eastAsia="仿宋" w:cs="Times New Roman"/>
          <w:b w:val="0"/>
          <w:sz w:val="28"/>
        </w:rPr>
        <w:t>达安基因收购广永科技100%股权（下称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广永科技100%股权</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但按公告披露的事实，交易方向与此相反。达安基因在本次权益变动中不支付对价、不承担受让义务，真正发生的是广药资本同时取得上市公司10%股份与控股股东100%股权。具体而言，广药资本通过协议转让受让广州金控集团持有的70,172,302股（占总股本5%）与广州健康产投持有的70,。</w:t>
      </w:r>
    </w:p>
    <w:p>
      <w:pPr>
        <w:spacing w:before="0" w:after="0" w:line="240" w:lineRule="auto" w:beforeLines="0" w:afterLines="0"/>
        <w:jc w:val="both"/>
        <w:ind w:firstLineChars="200"/>
      </w:pPr>
      <w:r>
        <w:rPr>
          <w:rFonts w:ascii="Times New Roman" w:hAnsi="Times New Roman" w:eastAsia="仿宋" w:cs="Times New Roman"/>
          <w:b w:val="0"/>
          <w:sz w:val="28"/>
        </w:rPr>
        <w:t>公告未披露本次交易的对价金额、估值口径、支付安排与资金来源，也未说明各方的主观动机、洽商由谁发起、是否存在公开征集或竞争者。可确认的只有客观安排：两笔标的、两组对手方、两条审批路径，以及受让方由</w:t>
      </w:r>
      <w:r>
        <w:rPr>
          <w:rFonts w:ascii="Times New Roman" w:hAnsi="Times New Roman" w:eastAsia="Times New Roman" w:cs="Times New Roman"/>
          <w:b w:val="0"/>
          <w:sz w:val="28"/>
        </w:rPr>
        <w:t>“</w:t>
      </w:r>
      <w:r>
        <w:rPr>
          <w:rFonts w:ascii="Times New Roman" w:hAnsi="Times New Roman" w:eastAsia="仿宋" w:cs="Times New Roman"/>
          <w:b w:val="0"/>
          <w:sz w:val="28"/>
        </w:rPr>
        <w:t>广药集团或其指定关联方</w:t>
      </w:r>
      <w:r>
        <w:rPr>
          <w:rFonts w:ascii="Times New Roman" w:hAnsi="Times New Roman" w:eastAsia="Times New Roman" w:cs="Times New Roman"/>
          <w:b w:val="0"/>
          <w:sz w:val="28"/>
        </w:rPr>
        <w:t>”</w:t>
      </w:r>
      <w:r>
        <w:rPr>
          <w:rFonts w:ascii="Times New Roman" w:hAnsi="Times New Roman" w:eastAsia="仿宋" w:cs="Times New Roman"/>
          <w:b w:val="0"/>
          <w:sz w:val="28"/>
        </w:rPr>
        <w:t>最终落定为广药资本。因此判断只能落在已披露的股权比例、签约主体、批复文件、交割条件与过户结果上，不对动机作推断。</w:t>
      </w:r>
    </w:p>
    <w:p>
      <w:pPr>
        <w:spacing w:before="0" w:after="0" w:line="240" w:lineRule="auto" w:beforeLines="0" w:afterLines="0"/>
        <w:jc w:val="left"/>
        <w:ind w:firstLineChars="200"/>
      </w:pPr>
      <w:r>
        <w:rPr>
          <w:rFonts w:ascii="Times New Roman" w:hAnsi="Times New Roman" w:eastAsia="仿宋" w:cs="Times New Roman"/>
          <w:b/>
          <w:sz w:val="28"/>
        </w:rPr>
        <w:t>二、交易前的三层持股关系决定了单通道难以完成控制权转移</w:t>
      </w:r>
    </w:p>
    <w:p>
      <w:pPr>
        <w:spacing w:before="0" w:after="0" w:line="240" w:lineRule="auto" w:beforeLines="0" w:afterLines="0"/>
        <w:jc w:val="both"/>
        <w:ind w:firstLineChars="200"/>
      </w:pPr>
      <w:r>
        <w:rPr>
          <w:rFonts w:ascii="Times New Roman" w:hAnsi="Times New Roman" w:eastAsia="仿宋" w:cs="Times New Roman"/>
          <w:b w:val="0"/>
          <w:sz w:val="28"/>
        </w:rPr>
        <w:t>过户前的持股结构由三层构成。广州金控集团直接持有达安基因70,172,302股（占总股本5%）；广州健康产投直接持有140,344,607股（占总股本10%）；两者合计210,516,909股，占15%。广永科技作为达安基因控股股东持有233,391,995股，占16.63%，其100%股权由广州金控集团持有。也就是说，原体系对达安基因的权益分为</w:t>
      </w:r>
      <w:r>
        <w:rPr>
          <w:rFonts w:ascii="Times New Roman" w:hAnsi="Times New Roman" w:eastAsia="Times New Roman" w:cs="Times New Roman"/>
          <w:b w:val="0"/>
          <w:sz w:val="28"/>
        </w:rPr>
        <w:t>“</w:t>
      </w:r>
      <w:r>
        <w:rPr>
          <w:rFonts w:ascii="Times New Roman" w:hAnsi="Times New Roman" w:eastAsia="仿宋" w:cs="Times New Roman"/>
          <w:b w:val="0"/>
          <w:sz w:val="28"/>
        </w:rPr>
        <w:t>直接15%。</w:t>
      </w:r>
    </w:p>
    <w:p>
      <w:pPr>
        <w:spacing w:before="0" w:after="0" w:line="240" w:lineRule="auto" w:beforeLines="0" w:afterLines="0"/>
        <w:jc w:val="both"/>
        <w:ind w:firstLineChars="200"/>
      </w:pPr>
      <w:r>
        <w:rPr>
          <w:rFonts w:ascii="Times New Roman" w:hAnsi="Times New Roman" w:eastAsia="仿宋" w:cs="Times New Roman"/>
          <w:b w:val="0"/>
          <w:sz w:val="28"/>
        </w:rPr>
        <w:t>主体属性构成交易的产业语境。广药集团为医药集团，广药资本是其全资子公司并作为最终受让方；达安基因为深圳证券交易所主板上市、处于体外诊断领域的公司；广永科技的核心资产即其所持达安基因16.63%股份，属于持股平台；广州金控集团与广州健康产投则处于金融控股与生物医药产业投资体系。交易发生在广州市属国资体系内部，出让方与受让方均须履行国有资产监管程序，这直接决定了。</w:t>
      </w:r>
    </w:p>
    <w:p>
      <w:pPr>
        <w:spacing w:before="0" w:after="0" w:line="240" w:lineRule="auto" w:beforeLines="0" w:afterLines="0"/>
        <w:jc w:val="left"/>
        <w:ind w:firstLineChars="200"/>
      </w:pPr>
      <w:r>
        <w:rPr>
          <w:rFonts w:ascii="Times New Roman" w:hAnsi="Times New Roman" w:eastAsia="仿宋" w:cs="Times New Roman"/>
          <w:b/>
          <w:sz w:val="28"/>
        </w:rPr>
        <w:t>三、先决条件把签约与交割分开，协议链与审批链依次推进</w:t>
      </w:r>
    </w:p>
    <w:p>
      <w:pPr>
        <w:spacing w:before="0" w:after="0" w:line="240" w:lineRule="auto" w:beforeLines="0" w:afterLines="0"/>
        <w:jc w:val="both"/>
        <w:ind w:firstLineChars="200"/>
      </w:pPr>
      <w:r>
        <w:rPr>
          <w:rFonts w:ascii="Times New Roman" w:hAnsi="Times New Roman" w:eastAsia="仿宋" w:cs="Times New Roman"/>
          <w:b w:val="0"/>
          <w:sz w:val="28"/>
        </w:rPr>
        <w:t>协议起点是2025年11月15日。当日广州金控集团、广州健康产投与广药集团签署《关于广州达安基因股份有限公司控股权收购框架协议》，约定广药集团或广药集团指定关联方拟受让广州金控集团持有的广永科技100%股权，从而间接控制广永科技所持达安基因股份。这一表述说明，最初被锁定的核心标的并非上市公司股份，而是控股股东股权，上市公司的间接控制权是受让控股股东股权的结果。</w:t>
      </w:r>
    </w:p>
    <w:p>
      <w:pPr>
        <w:spacing w:before="0" w:after="0" w:line="240" w:lineRule="auto" w:beforeLines="0" w:afterLines="0"/>
        <w:jc w:val="both"/>
        <w:ind w:firstLineChars="200"/>
      </w:pPr>
      <w:r>
        <w:rPr>
          <w:rFonts w:ascii="Times New Roman" w:hAnsi="Times New Roman" w:eastAsia="仿宋" w:cs="Times New Roman"/>
          <w:b w:val="0"/>
          <w:sz w:val="28"/>
        </w:rPr>
        <w:t>2026年5月14日，各方签署附生效条件的《关于广州达安基因股份有限公司控股权收购协议》等正式交易文件，约定广州金控集团将所持广永科技100%股权转让给广药资本，广药集团由此确定最终受让方为其全资子公司；5月15日，达安基因收到相关告知函。此后进入监管环节：2026年7月21日，达安基因收到《广州金控集团关于国资监管部门批复股权转让相关事项的告知函》（广金控。</w:t>
      </w:r>
    </w:p>
    <w:p>
      <w:pPr>
        <w:spacing w:before="0" w:after="0" w:line="240" w:lineRule="auto" w:beforeLines="0" w:afterLines="0"/>
        <w:jc w:val="both"/>
        <w:ind w:firstLineChars="200"/>
      </w:pPr>
      <w:r>
        <w:rPr>
          <w:rFonts w:ascii="Times New Roman" w:hAnsi="Times New Roman" w:eastAsia="仿宋" w:cs="Times New Roman"/>
          <w:b w:val="0"/>
          <w:sz w:val="28"/>
        </w:rPr>
        <w:t>交割环节随后落地。本次股份协议转让取得深圳证券交易所合规性确认意见，并取得中国证券登记结算有限责任公司出具的《证券过户登记确认书》，过户时间为2026年9月3日，合计过户140,344,606股，占总股本10%，股份性质为无限售流通股；2026年9月5日达安基因公告间接控股股东变更完成。控股股东股权转让的工商变更登记前期已另行公告（编号2026-032），与本次上市公司股份过户分属两个环节，本案中两者分别完成。</w:t>
      </w:r>
    </w:p>
    <w:p>
      <w:pPr>
        <w:spacing w:before="0" w:after="0" w:line="240" w:lineRule="auto" w:beforeLines="0" w:afterLines="0"/>
        <w:jc w:val="both"/>
        <w:ind w:firstLineChars="200"/>
      </w:pPr>
      <w:r>
        <w:rPr>
          <w:rFonts w:ascii="Times New Roman" w:hAnsi="Times New Roman" w:eastAsia="仿宋" w:cs="Times New Roman"/>
          <w:b w:val="0"/>
          <w:sz w:val="28"/>
        </w:rPr>
        <w:t>按顺序读这条链，可以看出一套国资控制权交易的推进方法。框架协议解决交易意向与标的范围，附生效条件的正式协议解决主体落定与约束力，国资批复与资产评估备案解决权益变动的合规基础，补充协议解决正式协议签署后的事项调整，交易所合规确认与登记过户解决股份权属的实际转移。每一步都是下一步的前提，签约与交割因此被明确分开，受让方在正式协议阶段落定为广药资本，也为集团内部主体承接留出安排空间。</w:t>
      </w:r>
    </w:p>
    <w:p>
      <w:pPr>
        <w:spacing w:before="0" w:after="0" w:line="240" w:lineRule="auto" w:beforeLines="0" w:afterLines="0"/>
        <w:jc w:val="left"/>
        <w:ind w:firstLineChars="200"/>
      </w:pPr>
      <w:r>
        <w:rPr>
          <w:rFonts w:ascii="Times New Roman" w:hAnsi="Times New Roman" w:eastAsia="仿宋" w:cs="Times New Roman"/>
          <w:b/>
          <w:sz w:val="28"/>
        </w:rPr>
        <w:t>四、交割条件、治理边界与承接风险</w:t>
      </w:r>
    </w:p>
    <w:p>
      <w:pPr>
        <w:spacing w:before="0" w:after="0" w:line="240" w:lineRule="auto" w:beforeLines="0" w:afterLines="0"/>
        <w:jc w:val="both"/>
        <w:ind w:firstLineChars="200"/>
      </w:pPr>
      <w:r>
        <w:rPr>
          <w:rFonts w:ascii="Times New Roman" w:hAnsi="Times New Roman" w:eastAsia="仿宋" w:cs="Times New Roman"/>
          <w:b w:val="0"/>
          <w:sz w:val="28"/>
        </w:rPr>
        <w:t>两条通道承担的功能并不重复。仅在上市公司层面受让10%，广药资本会取得重要股东身份，但控股股东广永科技仍留在原体系内，控制权归属与股权比例出现错配；仅受让广永科技100%股权，广药资本直接持股为零，仅间接控制16.63%，权益计算基础与后续减持规则的适用条件均与本案不同。两条通道并行，才能在直接持股与控股股东地位上同时取得确定结果，最终形成直接持有140,3。</w:t>
      </w:r>
    </w:p>
    <w:p>
      <w:pPr>
        <w:spacing w:before="0" w:after="0" w:line="240" w:lineRule="auto" w:beforeLines="0" w:afterLines="0"/>
        <w:jc w:val="both"/>
        <w:ind w:firstLineChars="200"/>
      </w:pPr>
      <w:r>
        <w:rPr>
          <w:rFonts w:ascii="Times New Roman" w:hAnsi="Times New Roman" w:eastAsia="仿宋" w:cs="Times New Roman"/>
          <w:b w:val="0"/>
          <w:sz w:val="28"/>
        </w:rPr>
        <w:t>结构边界需要克制处理。其一，合计控制26.63%低于30%这一通常被援引的要约收购触发比例，但直接持股10%与通过控股股东间接控制的16.63%在权益计算上属于不同口径，公告未就要约收购义务或豁免作出结论性表述，不宜把26.63%直接等同于要约豁免结论。其二，公告未披露对价金额与定价依据，可确认的仅为协议转让与股权受让两种方式，无法评估定价水平；但交易双方分。</w:t>
      </w:r>
    </w:p>
    <w:p>
      <w:pPr>
        <w:spacing w:before="0" w:after="0" w:line="240" w:lineRule="auto" w:beforeLines="0" w:afterLines="0"/>
        <w:jc w:val="both"/>
        <w:ind w:firstLineChars="200"/>
      </w:pPr>
      <w:r>
        <w:rPr>
          <w:rFonts w:ascii="Times New Roman" w:hAnsi="Times New Roman" w:eastAsia="仿宋" w:cs="Times New Roman"/>
          <w:b w:val="0"/>
          <w:sz w:val="28"/>
        </w:rPr>
        <w:t>从分类看，本案未发生上市公司收购资产、业务注入或主体合并，交易指向的是上市公司控制权，应归入上市公司控股权并购，而非</w:t>
      </w:r>
      <w:r>
        <w:rPr>
          <w:rFonts w:ascii="Times New Roman" w:hAnsi="Times New Roman" w:eastAsia="Times New Roman" w:cs="Times New Roman"/>
          <w:b w:val="0"/>
          <w:sz w:val="28"/>
        </w:rPr>
        <w:t>“</w:t>
      </w:r>
      <w:r>
        <w:rPr>
          <w:rFonts w:ascii="Times New Roman" w:hAnsi="Times New Roman" w:eastAsia="仿宋" w:cs="Times New Roman"/>
          <w:b w:val="0"/>
          <w:sz w:val="28"/>
        </w:rPr>
        <w:t>依托上市平台持续整合同类资产</w:t>
      </w:r>
      <w:r>
        <w:rPr>
          <w:rFonts w:ascii="Times New Roman" w:hAnsi="Times New Roman" w:eastAsia="Times New Roman" w:cs="Times New Roman"/>
          <w:b w:val="0"/>
          <w:sz w:val="28"/>
        </w:rPr>
        <w:t>”</w:t>
      </w:r>
      <w:r>
        <w:rPr>
          <w:rFonts w:ascii="Times New Roman" w:hAnsi="Times New Roman" w:eastAsia="仿宋" w:cs="Times New Roman"/>
          <w:b w:val="0"/>
          <w:sz w:val="28"/>
        </w:rPr>
        <w:t>。区分这一点，对判断后续义务与信息披露重点十分关键。</w:t>
      </w:r>
    </w:p>
    <w:p>
      <w:pPr>
        <w:spacing w:before="0" w:after="0" w:line="240" w:lineRule="auto" w:beforeLines="0" w:afterLines="0"/>
        <w:jc w:val="left"/>
        <w:ind w:firstLineChars="200"/>
      </w:pPr>
      <w:r>
        <w:rPr>
          <w:rFonts w:ascii="Times New Roman" w:hAnsi="Times New Roman" w:eastAsia="仿宋" w:cs="Times New Roman"/>
          <w:b/>
          <w:sz w:val="28"/>
        </w:rPr>
        <w:t>五、过户前后的持股勾稽与治理披露边界</w:t>
      </w:r>
    </w:p>
    <w:p>
      <w:pPr>
        <w:spacing w:before="0" w:after="0" w:line="240" w:lineRule="auto" w:beforeLines="0" w:afterLines="0"/>
        <w:jc w:val="both"/>
        <w:ind w:firstLineChars="200"/>
      </w:pPr>
      <w:r>
        <w:rPr>
          <w:rFonts w:ascii="Times New Roman" w:hAnsi="Times New Roman" w:eastAsia="仿宋" w:cs="Times New Roman"/>
          <w:b w:val="0"/>
          <w:sz w:val="28"/>
        </w:rPr>
        <w:t>过户前后的持股变化可以逐项勾稽。过户前，广州金控集团持70,172,302股（占总股本5%），广州健康产投持140,344,607股（10%），转让方合计210,516,909股（15%），广药资本为零；过户后，广州金控集团持股降至0，广州健康产投降至70,172,303股（5%），转让方合计70,172,303股（5%），广药资本持140,344,606股。</w:t>
      </w:r>
    </w:p>
    <w:p>
      <w:pPr>
        <w:spacing w:before="0" w:after="0" w:line="240" w:lineRule="auto" w:beforeLines="0" w:afterLines="0"/>
        <w:jc w:val="both"/>
        <w:ind w:firstLineChars="200"/>
      </w:pPr>
      <w:r>
        <w:rPr>
          <w:rFonts w:ascii="Times New Roman" w:hAnsi="Times New Roman" w:eastAsia="仿宋" w:cs="Times New Roman"/>
          <w:b w:val="0"/>
          <w:sz w:val="28"/>
        </w:rPr>
        <w:t>数据中存在一处尾差需要说明。公告</w:t>
      </w:r>
      <w:r>
        <w:rPr>
          <w:rFonts w:ascii="Times New Roman" w:hAnsi="Times New Roman" w:eastAsia="Times New Roman" w:cs="Times New Roman"/>
          <w:b w:val="0"/>
          <w:sz w:val="28"/>
        </w:rPr>
        <w:t>“</w:t>
      </w:r>
      <w:r>
        <w:rPr>
          <w:rFonts w:ascii="Times New Roman" w:hAnsi="Times New Roman" w:eastAsia="仿宋" w:cs="Times New Roman"/>
          <w:b w:val="0"/>
          <w:sz w:val="28"/>
        </w:rPr>
        <w:t>重要内容提示</w:t>
      </w:r>
      <w:r>
        <w:rPr>
          <w:rFonts w:ascii="Times New Roman" w:hAnsi="Times New Roman" w:eastAsia="Times New Roman" w:cs="Times New Roman"/>
          <w:b w:val="0"/>
          <w:sz w:val="28"/>
        </w:rPr>
        <w:t>”</w:t>
      </w:r>
      <w:r>
        <w:rPr>
          <w:rFonts w:ascii="Times New Roman" w:hAnsi="Times New Roman" w:eastAsia="仿宋" w:cs="Times New Roman"/>
          <w:b w:val="0"/>
          <w:sz w:val="28"/>
        </w:rPr>
        <w:t>披露广州健康产投转让的股份数为70,172,304股，而持股变动表列示其过户后余额为70,172,303股，与本次合计过户140,344,606股之间存在1股差异，属同一口径下的表述差异，不影响10%的比例结论，但在逐项核对交割文件时应予标注。</w:t>
      </w:r>
    </w:p>
    <w:p>
      <w:pPr>
        <w:spacing w:before="0" w:after="0" w:line="240" w:lineRule="auto" w:beforeLines="0" w:afterLines="0"/>
        <w:jc w:val="both"/>
        <w:ind w:firstLineChars="200"/>
      </w:pPr>
      <w:r>
        <w:rPr>
          <w:rFonts w:ascii="Times New Roman" w:hAnsi="Times New Roman" w:eastAsia="仿宋" w:cs="Times New Roman"/>
          <w:b w:val="0"/>
          <w:sz w:val="28"/>
        </w:rPr>
        <w:t>治理与后续约束的披露边界同样清楚。公告载明，股份协议转让完成后相关股东的股份变动将严格遵守《上市公司股东减持股份管理暂行办法》《深圳证券交易所股票上市规则》《深圳证券交易所上市公司自律监管指引第18号——股东及董事、高级管理人员减持股份》等法律法规、规范性文件及自身承诺要求。至于广药集团取得控制权后是否调整董事会构成、是否派驻管理层、是否对达安基因体外诊断业务作重新定位，公开材料未作披露。</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广州达安基因与广永科技100%股权，本案的方法论意义不在于把交易结果写成通用并购总结，而在于把70,172,302股；5%；70,172,304股；140,344,606股；10%；100%；协议转让；股权/股份受让、交易状态/完成年份：2026-09-05；买方动机：证券代码：002030证券简称：达安基因公告编号：2026-040广州达安基因股份有限公司关于股份协议转让完成过户登记暨间接控股股东变更完成的公告本公司及董事会全体成员保证信息披露内容的真实、准确、完整，没有虚假记载、误导性陈述或；重要内容提示： 1、广州达安基因股份有限公司（下称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达安基因</w:t>
      </w:r>
      <w:r>
        <w:rPr>
          <w:rFonts w:ascii="Times New Roman" w:hAnsi="Times New Roman" w:eastAsia="Times New Roman" w:cs="Times New Roman"/>
          <w:b w:val="0"/>
          <w:sz w:val="28"/>
        </w:rPr>
        <w:t>”</w:t>
      </w:r>
      <w:r>
        <w:rPr>
          <w:rFonts w:ascii="Times New Roman" w:hAnsi="Times New Roman" w:eastAsia="仿宋" w:cs="Times New Roman"/>
          <w:b w:val="0"/>
          <w:sz w:val="28"/>
        </w:rPr>
        <w:t>）收到广州医药集团有限公司全资子公司广州广药资本有限公司（下称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广药集团</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广药资本</w:t>
      </w:r>
      <w:r>
        <w:rPr>
          <w:rFonts w:ascii="Times New Roman" w:hAnsi="Times New Roman" w:eastAsia="Times New Roman" w:cs="Times New Roman"/>
          <w:b w:val="0"/>
          <w:sz w:val="28"/>
        </w:rPr>
        <w:t>”</w:t>
      </w:r>
      <w:r>
        <w:rPr>
          <w:rFonts w:ascii="Times New Roman" w:hAnsi="Times New Roman" w:eastAsia="仿宋" w:cs="Times New Roman"/>
          <w:b w:val="0"/>
          <w:sz w:val="28"/>
        </w:rPr>
        <w:t>）提供的由中国证券登记结算有限责任公司出具的《证券过户登记确认；2、本次权益变动后，广药资本直接持有公司140,344,606股股份（占公司总股本的10%），并通过取得公司控股股东广州广永科技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广永科技</w:t>
      </w:r>
      <w:r>
        <w:rPr>
          <w:rFonts w:ascii="Times New Roman" w:hAnsi="Times New Roman" w:eastAsia="Times New Roman" w:cs="Times New Roman"/>
          <w:b w:val="0"/>
          <w:sz w:val="28"/>
        </w:rPr>
        <w:t>”</w:t>
      </w:r>
      <w:r>
        <w:rPr>
          <w:rFonts w:ascii="Times New Roman" w:hAnsi="Times New Roman" w:eastAsia="仿宋" w:cs="Times New Roman"/>
          <w:b w:val="0"/>
          <w:sz w:val="28"/>
        </w:rPr>
        <w:t>）100%股权间接持有公司233,391,995股股份（占公司总股本的16.6、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广州达安基因而言，关键是交割承接和整合节奏能否与已披露安排匹配；对广永科技100%股权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