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北京东方生态新能源收购的基本情况北京东方生：控制权与治理安排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本案例涉及北京东方生态新能源股份有限公司（下称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北京东方生态新能源</w:t>
      </w:r>
      <w:r>
        <w:rPr>
          <w:rFonts w:ascii="Times New Roman" w:hAnsi="Times New Roman" w:eastAsia="Times New Roman" w:cs="Times New Roman"/>
          <w:b w:val="0"/>
          <w:sz w:val="28"/>
        </w:rPr>
        <w:t>”</w:t>
      </w:r>
      <w:r>
        <w:rPr>
          <w:rFonts w:ascii="Times New Roman" w:hAnsi="Times New Roman" w:eastAsia="仿宋" w:cs="Times New Roman"/>
          <w:b w:val="0"/>
          <w:sz w:val="28"/>
        </w:rPr>
        <w:t>）收购的基本情况北京东方生态新能源股份有限公司100%股权（下称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的基本情况北京东方生态新能源100%股权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）的交易安排。交易前，本案例先从股权结构、控制权状态、业务状态和产业位置理解双方处境；交易的触发路径来自公告或监管披露《北京东方生态新能源股份有限公司关于重大资产购买事项 ...》，目标线索为公开资料披露的公司方安排依据：公司及全资子公司合计持有全部出资份额的合伙企业新能企管中心，以现金支付方式向锐电投资有限公司购买海城锐海100%股权、向百瑞信托有限责任公司购买电投瑞享80%股权；本次交易完成后海城锐海、电投瑞享均成为公司子公司并纳入合并报表范围；公司已取得两标的控制权，相关资产日常经营管理由公司全面负责，经营状态正常；公开资料未披露公司关于收。</w:t>
      </w:r>
    </w:p>
    <w:p>
      <w:pPr>
        <w:spacing w:before="0" w:after="0" w:line="240" w:lineRule="auto" w:beforeLines="0" w:afterLines="0"/>
        <w:jc w:val="left"/>
        <w:ind w:firstLineChars="200"/>
      </w:pPr>
      <w:r>
        <w:rPr>
          <w:rFonts w:ascii="Times New Roman" w:hAnsi="Times New Roman" w:eastAsia="仿宋" w:cs="Times New Roman"/>
          <w:b/>
          <w:sz w:val="28"/>
        </w:rPr>
        <w:t>一、交易前状态披露有限，六个半月的审批链条却完整可查</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披露具体交易金额。仅披露：以现金支付方式购买海城锐海100%股权、电投瑞享80%股权；电投瑞享交易对价中剩余40%价款，将于电投瑞享工商变更登记完成之日起10个工作日内支付；时间线包括2025年12月15日：公司召开第九届董事会第十二次会议，审议通过《关于&lt;北京东方园林环境股份有限公司重大资产购。</w:t>
      </w:r>
    </w:p>
    <w:p>
      <w:pPr>
        <w:spacing w:before="0" w:after="0" w:line="240" w:lineRule="auto" w:beforeLines="0" w:afterLines="0"/>
        <w:jc w:val="both"/>
        <w:ind w:firstLineChars="200"/>
      </w:pPr>
      <w:r>
        <w:rPr>
          <w:rFonts w:ascii="Times New Roman" w:hAnsi="Times New Roman" w:eastAsia="仿宋" w:cs="Times New Roman"/>
          <w:b w:val="0"/>
          <w:sz w:val="28"/>
        </w:rPr>
        <w:t>交易前状态的可确认信息有限。购买方为证券代码002310的上市主体，交易对手有两方：锐电投资有限公司（下称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锐电投资</w:t>
      </w:r>
      <w:r>
        <w:rPr>
          <w:rFonts w:ascii="Times New Roman" w:hAnsi="Times New Roman" w:eastAsia="Times New Roman" w:cs="Times New Roman"/>
          <w:b w:val="0"/>
          <w:sz w:val="28"/>
        </w:rPr>
        <w:t>”</w:t>
      </w:r>
      <w:r>
        <w:rPr>
          <w:rFonts w:ascii="Times New Roman" w:hAnsi="Times New Roman" w:eastAsia="仿宋" w:cs="Times New Roman"/>
          <w:b w:val="0"/>
          <w:sz w:val="28"/>
        </w:rPr>
        <w:t>）出让海城锐海100%股权，百瑞信托有限责任公司（下称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百瑞信托</w:t>
      </w:r>
      <w:r>
        <w:rPr>
          <w:rFonts w:ascii="Times New Roman" w:hAnsi="Times New Roman" w:eastAsia="Times New Roman" w:cs="Times New Roman"/>
          <w:b w:val="0"/>
          <w:sz w:val="28"/>
        </w:rPr>
        <w:t>”</w:t>
      </w:r>
      <w:r>
        <w:rPr>
          <w:rFonts w:ascii="Times New Roman" w:hAnsi="Times New Roman" w:eastAsia="仿宋" w:cs="Times New Roman"/>
          <w:b w:val="0"/>
          <w:sz w:val="28"/>
        </w:rPr>
        <w:t>）出让电投瑞享80%股权。公开资料未披露上市公司交易前的资产负债、营业收入与利润、原有新能源业务占比，也未披露两标的被收购前的股权结构、少数股东情况、装机与经营数据，因此无法从。</w:t>
      </w:r>
    </w:p>
    <w:p>
      <w:pPr>
        <w:spacing w:before="0" w:after="0" w:line="240" w:lineRule="auto" w:beforeLines="0" w:afterLines="0"/>
        <w:jc w:val="both"/>
        <w:ind w:firstLineChars="200"/>
      </w:pPr>
      <w:r>
        <w:rPr>
          <w:rFonts w:ascii="Times New Roman" w:hAnsi="Times New Roman" w:eastAsia="仿宋" w:cs="Times New Roman"/>
          <w:b w:val="0"/>
          <w:sz w:val="28"/>
        </w:rPr>
        <w:t>审批链条完整且时点可查：2026年3月4日第九届董事会第十四次会议通过重大资产购买报告书（草案）及摘要与本次重大资产重组方案；2026年4月10日第九届董事会第十五次会议通过报告书草案修订稿；2026年4月29日2026年第三次临时股东会通过重组方案与修订稿报告书；2026年6月30日公司披露《关于重大资产购买部分股权完成过户暨实施进展的公告》（公告编号20。</w:t>
      </w:r>
    </w:p>
    <w:p>
      <w:pPr>
        <w:spacing w:before="0" w:after="0" w:line="240" w:lineRule="auto" w:beforeLines="0" w:afterLines="0"/>
        <w:jc w:val="both"/>
        <w:ind w:firstLineChars="200"/>
      </w:pPr>
      <w:r>
        <w:rPr>
          <w:rFonts w:ascii="Times New Roman" w:hAnsi="Times New Roman" w:eastAsia="仿宋" w:cs="Times New Roman"/>
          <w:b w:val="0"/>
          <w:sz w:val="28"/>
        </w:rPr>
        <w:t>链条中有一处细节值得单独指出。2025年12月15日董事会议案标题使用的是</w:t>
      </w:r>
      <w:r>
        <w:rPr>
          <w:rFonts w:ascii="Times New Roman" w:hAnsi="Times New Roman" w:eastAsia="Times New Roman" w:cs="Times New Roman"/>
          <w:b w:val="0"/>
          <w:sz w:val="28"/>
        </w:rPr>
        <w:t>“</w:t>
      </w:r>
      <w:r>
        <w:rPr>
          <w:rFonts w:ascii="Times New Roman" w:hAnsi="Times New Roman" w:eastAsia="仿宋" w:cs="Times New Roman"/>
          <w:b w:val="0"/>
          <w:sz w:val="28"/>
        </w:rPr>
        <w:t>北京东方园林环境股份有限公司</w:t>
      </w:r>
      <w:r>
        <w:rPr>
          <w:rFonts w:ascii="Times New Roman" w:hAnsi="Times New Roman" w:eastAsia="Times New Roman" w:cs="Times New Roman"/>
          <w:b w:val="0"/>
          <w:sz w:val="28"/>
        </w:rPr>
        <w:t>”</w:t>
      </w:r>
      <w:r>
        <w:rPr>
          <w:rFonts w:ascii="Times New Roman" w:hAnsi="Times New Roman" w:eastAsia="仿宋" w:cs="Times New Roman"/>
          <w:b w:val="0"/>
          <w:sz w:val="28"/>
        </w:rPr>
        <w:t>，2026年3月及以后的报告书文件已改称</w:t>
      </w:r>
      <w:r>
        <w:rPr>
          <w:rFonts w:ascii="Times New Roman" w:hAnsi="Times New Roman" w:eastAsia="Times New Roman" w:cs="Times New Roman"/>
          <w:b w:val="0"/>
          <w:sz w:val="28"/>
        </w:rPr>
        <w:t>“</w:t>
      </w:r>
      <w:r>
        <w:rPr>
          <w:rFonts w:ascii="Times New Roman" w:hAnsi="Times New Roman" w:eastAsia="仿宋" w:cs="Times New Roman"/>
          <w:b w:val="0"/>
          <w:sz w:val="28"/>
        </w:rPr>
        <w:t>北京东方生态新能源股份有限公司</w:t>
      </w:r>
      <w:r>
        <w:rPr>
          <w:rFonts w:ascii="Times New Roman" w:hAnsi="Times New Roman" w:eastAsia="Times New Roman" w:cs="Times New Roman"/>
          <w:b w:val="0"/>
          <w:sz w:val="28"/>
        </w:rPr>
        <w:t>”</w:t>
      </w:r>
      <w:r>
        <w:rPr>
          <w:rFonts w:ascii="Times New Roman" w:hAnsi="Times New Roman" w:eastAsia="仿宋" w:cs="Times New Roman"/>
          <w:b w:val="0"/>
          <w:sz w:val="28"/>
        </w:rPr>
        <w:t>。名称与主业标识的切换期与本次交易推进期重叠是事实，但两者的因果关系与先后顺序公开资料未予说明，将更名直接认定为本次收购的动因或结果缺乏依据。此外，附生效条件股权转让协议的具体签署日期与条款全文、是否设置业绩承诺或补偿安排，公开资料均未披露。</w:t>
      </w:r>
    </w:p>
    <w:p>
      <w:pPr>
        <w:spacing w:before="0" w:after="0" w:line="240" w:lineRule="auto" w:beforeLines="0" w:afterLines="0"/>
        <w:jc w:val="left"/>
        <w:ind w:firstLineChars="200"/>
      </w:pPr>
      <w:r>
        <w:rPr>
          <w:rFonts w:ascii="Times New Roman" w:hAnsi="Times New Roman" w:eastAsia="仿宋" w:cs="Times New Roman"/>
          <w:b/>
          <w:sz w:val="28"/>
        </w:rPr>
        <w:t>二、合伙企业载体、全现金对价与40%尾款挂钩登记：结构先于金额确定</w:t>
      </w:r>
    </w:p>
    <w:p>
      <w:pPr>
        <w:spacing w:before="0" w:after="0" w:line="240" w:lineRule="auto" w:beforeLines="0" w:afterLines="0"/>
        <w:jc w:val="both"/>
        <w:ind w:firstLineChars="200"/>
      </w:pPr>
      <w:r>
        <w:rPr>
          <w:rFonts w:ascii="Times New Roman" w:hAnsi="Times New Roman" w:eastAsia="仿宋" w:cs="Times New Roman"/>
          <w:b w:val="0"/>
          <w:sz w:val="28"/>
        </w:rPr>
        <w:t>购买主体并非上市公司本身，而是东方新能（北京）企业管理中心（有限合伙）（下称</w:t>
      </w:r>
      <w:r>
        <w:rPr>
          <w:rFonts w:ascii="Times New Roman" w:hAnsi="Times New Roman" w:eastAsia="Times New Roman" w:cs="Times New Roman"/>
          <w:b w:val="0"/>
          <w:sz w:val="28"/>
        </w:rPr>
        <w:t>“</w:t>
      </w:r>
      <w:r>
        <w:rPr>
          <w:rFonts w:ascii="Times New Roman" w:hAnsi="Times New Roman" w:eastAsia="仿宋" w:cs="Times New Roman"/>
          <w:b w:val="0"/>
          <w:sz w:val="28"/>
        </w:rPr>
        <w:t>新能企管中心</w:t>
      </w:r>
      <w:r>
        <w:rPr>
          <w:rFonts w:ascii="Times New Roman" w:hAnsi="Times New Roman" w:eastAsia="Times New Roman" w:cs="Times New Roman"/>
          <w:b w:val="0"/>
          <w:sz w:val="28"/>
        </w:rPr>
        <w:t>”</w:t>
      </w:r>
      <w:r>
        <w:rPr>
          <w:rFonts w:ascii="Times New Roman" w:hAnsi="Times New Roman" w:eastAsia="仿宋" w:cs="Times New Roman"/>
          <w:b w:val="0"/>
          <w:sz w:val="28"/>
        </w:rPr>
        <w:t>），由东方新能及其全资子公司合计持有全部出资份额。全部对价以现金支付，海城锐海为100%股权、电投瑞享为80%股权。结构上确定的有三点：现金支付不涉及股份发行，无须处理发行价格与股东摊薄；合伙企业作为收购载体，同时承载100%与80%两种持股比例的资产；交易金额公开资。</w:t>
      </w:r>
    </w:p>
    <w:p>
      <w:pPr>
        <w:spacing w:before="0" w:after="0" w:line="240" w:lineRule="auto" w:beforeLines="0" w:afterLines="0"/>
        <w:jc w:val="both"/>
        <w:ind w:firstLineChars="200"/>
      </w:pPr>
      <w:r>
        <w:rPr>
          <w:rFonts w:ascii="Times New Roman" w:hAnsi="Times New Roman" w:eastAsia="仿宋" w:cs="Times New Roman"/>
          <w:b w:val="0"/>
          <w:sz w:val="28"/>
        </w:rPr>
        <w:t>对价安排中唯一被明确披露的条款是：电投瑞享交易对价中剩余40%价款，于电投瑞享工商变更登记完成之日起10个工作日内支付。该安排只约束电投瑞享一笔股权转让，海城锐海100%股权的对价支付节点公开资料未单独披露，使本已有限的支付信息进一步集中于存在少数股东的那一个标的。对出让方百瑞信托而言，四成对价能否收到、何时收到，取决于登记推进速度；对收购方而言，未付尾款成。</w:t>
      </w:r>
    </w:p>
    <w:p>
      <w:pPr>
        <w:spacing w:before="0" w:after="0" w:line="240" w:lineRule="auto" w:beforeLines="0" w:afterLines="0"/>
        <w:jc w:val="left"/>
        <w:ind w:firstLineChars="200"/>
      </w:pPr>
      <w:r>
        <w:rPr>
          <w:rFonts w:ascii="Times New Roman" w:hAnsi="Times New Roman" w:eastAsia="仿宋" w:cs="Times New Roman"/>
          <w:b/>
          <w:sz w:val="28"/>
        </w:rPr>
        <w:t>三、控制权取得、并入合并报表与登记未办结并存：公告把交易效力与程序形式切开</w:t>
      </w:r>
    </w:p>
    <w:p>
      <w:pPr>
        <w:spacing w:before="0" w:after="0" w:line="240" w:lineRule="auto" w:beforeLines="0" w:afterLines="0"/>
        <w:jc w:val="both"/>
        <w:ind w:firstLineChars="200"/>
      </w:pPr>
      <w:r>
        <w:rPr>
          <w:rFonts w:ascii="Times New Roman" w:hAnsi="Times New Roman" w:eastAsia="仿宋" w:cs="Times New Roman"/>
          <w:b w:val="0"/>
          <w:sz w:val="28"/>
        </w:rPr>
        <w:t>本案信息密度最高的一段，是公告对交割状态的表述。公司称已取得海城锐海100%股权及电投瑞享80%股权的控制权，并均已纳入合并报表范围，相关资产日常经营管理由公司全面负责，经营状态正常；同时说明因相关变更流程办理周期较长，电投瑞享的工商变更登记手续尚未办结。公告随后对这一并存状态作出定性：该事项不影响标的股权所有权已实质转移至公司的法律及会计实质，不改变公司作。</w:t>
      </w:r>
    </w:p>
    <w:p>
      <w:pPr>
        <w:spacing w:before="0" w:after="0" w:line="240" w:lineRule="auto" w:beforeLines="0" w:afterLines="0"/>
        <w:jc w:val="both"/>
        <w:ind w:firstLineChars="200"/>
      </w:pPr>
      <w:r>
        <w:rPr>
          <w:rFonts w:ascii="Times New Roman" w:hAnsi="Times New Roman" w:eastAsia="仿宋" w:cs="Times New Roman"/>
          <w:b w:val="0"/>
          <w:sz w:val="28"/>
        </w:rPr>
        <w:t>这段话构成一个完整的自证结构：把交易效力锚定在控制权取得与所有权实质转移上，把工商变更登记归入交割后的程序性义务，从而使</w:t>
      </w:r>
      <w:r>
        <w:rPr>
          <w:rFonts w:ascii="Times New Roman" w:hAnsi="Times New Roman" w:eastAsia="Times New Roman" w:cs="Times New Roman"/>
          <w:b w:val="0"/>
          <w:sz w:val="28"/>
        </w:rPr>
        <w:t>“</w:t>
      </w:r>
      <w:r>
        <w:rPr>
          <w:rFonts w:ascii="Times New Roman" w:hAnsi="Times New Roman" w:eastAsia="仿宋" w:cs="Times New Roman"/>
          <w:b w:val="0"/>
          <w:sz w:val="28"/>
        </w:rPr>
        <w:t>已生效、已交割且不可撤销</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过户时间尚存在不确定性</w:t>
      </w:r>
      <w:r>
        <w:rPr>
          <w:rFonts w:ascii="Times New Roman" w:hAnsi="Times New Roman" w:eastAsia="Times New Roman" w:cs="Times New Roman"/>
          <w:b w:val="0"/>
          <w:sz w:val="28"/>
        </w:rPr>
        <w:t>”</w:t>
      </w:r>
      <w:r>
        <w:rPr>
          <w:rFonts w:ascii="Times New Roman" w:hAnsi="Times New Roman" w:eastAsia="仿宋" w:cs="Times New Roman"/>
          <w:b w:val="0"/>
          <w:sz w:val="28"/>
        </w:rPr>
        <w:t>可以在同一份公告中共存。就并购方法论而言，它提出的问题是交割判定标准的选择——交割以控制权转移为准，还是以行政登记完成为准；公司的答案是前者，并以合并报表范围的纳入作为会计层面的支撑。</w:t>
      </w:r>
    </w:p>
    <w:p>
      <w:pPr>
        <w:spacing w:before="0" w:after="0" w:line="240" w:lineRule="auto" w:beforeLines="0" w:afterLines="0"/>
        <w:jc w:val="left"/>
        <w:ind w:firstLineChars="200"/>
      </w:pPr>
      <w:r>
        <w:rPr>
          <w:rFonts w:ascii="Times New Roman" w:hAnsi="Times New Roman" w:eastAsia="仿宋" w:cs="Times New Roman"/>
          <w:b/>
          <w:sz w:val="28"/>
        </w:rPr>
        <w:t>四、两处风电与新能源资产进入002310平台：产业位置能判断到哪一步</w:t>
      </w:r>
    </w:p>
    <w:p>
      <w:pPr>
        <w:spacing w:before="0" w:after="0" w:line="240" w:lineRule="auto" w:beforeLines="0" w:afterLines="0"/>
        <w:jc w:val="both"/>
        <w:ind w:firstLineChars="200"/>
      </w:pPr>
      <w:r>
        <w:rPr>
          <w:rFonts w:ascii="Times New Roman" w:hAnsi="Times New Roman" w:eastAsia="仿宋" w:cs="Times New Roman"/>
          <w:b w:val="0"/>
          <w:sz w:val="28"/>
        </w:rPr>
        <w:t>标的名称提供了有限的产业信息：海城锐海新能风力发电有限公司指向风电业务，北京电投瑞享新能源发展有限公司指向新能源开发；卖方一方为锐电投资，具产业投资属性，另一方为百瑞信托，属信托机构，资产来源分属产业方与金融机构两条渠道。本案分类为依托上市平台持续整合同类资产，与交易方式互相印证：以现金对价把两块新能源资产装入证券代码002310的上市平台，使两标的成为公司子公司，合并报表范围随之扩大。</w:t>
      </w:r>
    </w:p>
    <w:p>
      <w:pPr>
        <w:spacing w:before="0" w:after="0" w:line="240" w:lineRule="auto" w:beforeLines="0" w:afterLines="0"/>
        <w:jc w:val="both"/>
        <w:ind w:firstLineChars="200"/>
      </w:pPr>
      <w:r>
        <w:rPr>
          <w:rFonts w:ascii="Times New Roman" w:hAnsi="Times New Roman" w:eastAsia="仿宋" w:cs="Times New Roman"/>
          <w:b w:val="0"/>
          <w:sz w:val="28"/>
        </w:rPr>
        <w:t>产业判断能走的距离到此为止。公开资料未披露两标的的装机容量、发电效率、上网电量、电价与补贴结构、购售电协议、在建项目与资本开支，也未披露其营业收入、净利润、负债与现金流，因此无法评估资产质量、区域资源条件与现金流稳定性，更无法判断两块资产与平台既有业务在地理分布、消纳条件与运维体系上的重合程度。风电资产的定价通常以长期现金流为基础，而本案恰在金额与财务数据上。</w:t>
      </w:r>
    </w:p>
    <w:p>
      <w:pPr>
        <w:spacing w:before="0" w:after="0" w:line="240" w:lineRule="auto" w:beforeLines="0" w:afterLines="0"/>
        <w:jc w:val="left"/>
        <w:ind w:firstLineChars="200"/>
      </w:pPr>
      <w:r>
        <w:rPr>
          <w:rFonts w:ascii="Times New Roman" w:hAnsi="Times New Roman" w:eastAsia="仿宋" w:cs="Times New Roman"/>
          <w:b/>
          <w:sz w:val="28"/>
        </w:rPr>
        <w:t>五、金额、标的财务与剩余20%股权安排的缺口使合并影响不可量化</w:t>
      </w:r>
    </w:p>
    <w:p>
      <w:pPr>
        <w:spacing w:before="0" w:after="0" w:line="240" w:lineRule="auto" w:beforeLines="0" w:afterLines="0"/>
        <w:jc w:val="both"/>
        <w:ind w:firstLineChars="200"/>
      </w:pPr>
      <w:r>
        <w:rPr>
          <w:rFonts w:ascii="Times New Roman" w:hAnsi="Times New Roman" w:eastAsia="仿宋" w:cs="Times New Roman"/>
          <w:b w:val="0"/>
          <w:sz w:val="28"/>
        </w:rPr>
        <w:t>本次交易能够量化的只有比例与程序性节点：海城锐海100%、电投瑞享80%、剩余40%价款、登记完成后10个工作日，以及2025年12月15日至2026年6月30日约六个半月的时间跨度。公开资料未披露的部分同样应当列明：交易金额与估值；两标的营业收入、净利润、EBITDA、负债与现金流；附生效条件股权转让协议的签署日期与完整条款；业绩承诺或补偿安排；电投瑞享剩余20%股权的股东身份、是否构成关联方及其治理权利；出售方出让股权的主观原因。</w:t>
      </w:r>
    </w:p>
    <w:p>
      <w:pPr>
        <w:spacing w:before="0" w:after="0" w:line="240" w:lineRule="auto" w:beforeLines="0" w:afterLines="0"/>
        <w:jc w:val="both"/>
        <w:ind w:firstLineChars="200"/>
      </w:pPr>
      <w:r>
        <w:rPr>
          <w:rFonts w:ascii="Times New Roman" w:hAnsi="Times New Roman" w:eastAsia="仿宋" w:cs="Times New Roman"/>
          <w:b w:val="0"/>
          <w:sz w:val="28"/>
        </w:rPr>
        <w:t>这些缺口的直接后果是，合并报表范围的变化虽然确定，合并层面的财务影响却不可量化。两标的成为子公司后合并口径将发生变化，但由于缺少对价金额与标的财务数据，既无法判断商誉或对价分摊的规模，也无法判断本次现金支出对收购方资产负债结构的影响，更无从比较两个标的之间的相对定价。在这种条件下，把</w:t>
      </w:r>
      <w:r>
        <w:rPr>
          <w:rFonts w:ascii="Times New Roman" w:hAnsi="Times New Roman" w:eastAsia="Times New Roman" w:cs="Times New Roman"/>
          <w:b w:val="0"/>
          <w:sz w:val="28"/>
        </w:rPr>
        <w:t>“</w:t>
      </w:r>
      <w:r>
        <w:rPr>
          <w:rFonts w:ascii="Times New Roman" w:hAnsi="Times New Roman" w:eastAsia="仿宋" w:cs="Times New Roman"/>
          <w:b w:val="0"/>
          <w:sz w:val="28"/>
        </w:rPr>
        <w:t>不可量化</w:t>
      </w:r>
      <w:r>
        <w:rPr>
          <w:rFonts w:ascii="Times New Roman" w:hAnsi="Times New Roman" w:eastAsia="Times New Roman" w:cs="Times New Roman"/>
          <w:b w:val="0"/>
          <w:sz w:val="28"/>
        </w:rPr>
        <w:t>”</w:t>
      </w:r>
      <w:r>
        <w:rPr>
          <w:rFonts w:ascii="Times New Roman" w:hAnsi="Times New Roman" w:eastAsia="仿宋" w:cs="Times New Roman"/>
          <w:b w:val="0"/>
          <w:sz w:val="28"/>
        </w:rPr>
        <w:t>本身作为结论输出，比借助同业类比给出估算更为可靠。</w:t>
      </w:r>
    </w:p>
    <w:p>
      <w:pPr>
        <w:spacing w:before="0" w:after="0" w:line="240" w:lineRule="auto" w:beforeLines="0" w:afterLines="0"/>
        <w:jc w:val="left"/>
        <w:ind w:firstLineChars="200"/>
      </w:pPr>
      <w:r>
        <w:rPr>
          <w:rFonts w:ascii="Times New Roman" w:hAnsi="Times New Roman" w:eastAsia="仿宋" w:cs="Times New Roman"/>
          <w:b/>
          <w:sz w:val="28"/>
        </w:rPr>
        <w:t>六、结语：控制权与治理安排的核验方法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事实：东方新能以其及全资子公司合计持有全部出资份额的新能企管中心为购买主体，以现金受让锐电投资所持海城锐海100%股权与百瑞信托所持电投瑞享80%股权；2025年12月15日董事会启动，2026年4月29日临时股东会通过，2026年6月30日公告确认已取得控制权并纳入合并报表，电投瑞享工商变更登记尚未办结，其剩余40%价款于登记完成之日起10个工作日内支付，交易双方确认不存在争议、纠纷或潜在纠纷。</w:t>
      </w:r>
    </w:p>
    <w:p>
      <w:pPr>
        <w:spacing w:before="0" w:after="0" w:line="240" w:lineRule="auto" w:beforeLines="0" w:afterLines="0"/>
        <w:jc w:val="both"/>
        <w:ind w:firstLineChars="200"/>
      </w:pPr>
      <w:r>
        <w:rPr>
          <w:rFonts w:ascii="Times New Roman" w:hAnsi="Times New Roman" w:eastAsia="仿宋" w:cs="Times New Roman"/>
          <w:b w:val="0"/>
          <w:sz w:val="28"/>
        </w:rPr>
        <w:t>对同类交易的方法论意义集中在两点。其一，在控制权已交付、合并报表已开始、行政程序仍未走完的中间状态下，把价款中相当比例绑定在程序节点上，能把推进程序的义务与收款利益绑在同一方身上，比在协议中笼统约定</w:t>
      </w:r>
      <w:r>
        <w:rPr>
          <w:rFonts w:ascii="Times New Roman" w:hAnsi="Times New Roman" w:eastAsia="Times New Roman" w:cs="Times New Roman"/>
          <w:b w:val="0"/>
          <w:sz w:val="28"/>
        </w:rPr>
        <w:t>“</w:t>
      </w:r>
      <w:r>
        <w:rPr>
          <w:rFonts w:ascii="Times New Roman" w:hAnsi="Times New Roman" w:eastAsia="仿宋" w:cs="Times New Roman"/>
          <w:b w:val="0"/>
          <w:sz w:val="28"/>
        </w:rPr>
        <w:t>配合办理</w:t>
      </w:r>
      <w:r>
        <w:rPr>
          <w:rFonts w:ascii="Times New Roman" w:hAnsi="Times New Roman" w:eastAsia="Times New Roman" w:cs="Times New Roman"/>
          <w:b w:val="0"/>
          <w:sz w:val="28"/>
        </w:rPr>
        <w:t>”</w:t>
      </w:r>
      <w:r>
        <w:rPr>
          <w:rFonts w:ascii="Times New Roman" w:hAnsi="Times New Roman" w:eastAsia="仿宋" w:cs="Times New Roman"/>
          <w:b w:val="0"/>
          <w:sz w:val="28"/>
        </w:rPr>
        <w:t>更具可执行性；本案两位出让方的处置方式不同，锐电投资出让100%股权、退出完整，百瑞信托保留20%股权并承担相应的程序推进义务，条款差异由此产生。其二，交割判定标准应在协议阶段就被区分清楚：哪些事项决定交易生效与交割，哪些属于交割后的程序性义务，否则事后只能依靠公告语言解释</w:t>
      </w:r>
      <w:r>
        <w:rPr>
          <w:rFonts w:ascii="Times New Roman" w:hAnsi="Times New Roman" w:eastAsia="Times New Roman" w:cs="Times New Roman"/>
          <w:b w:val="0"/>
          <w:sz w:val="28"/>
        </w:rPr>
        <w:t>“</w:t>
      </w:r>
      <w:r>
        <w:rPr>
          <w:rFonts w:ascii="Times New Roman" w:hAnsi="Times New Roman" w:eastAsia="仿宋" w:cs="Times New Roman"/>
          <w:b w:val="0"/>
          <w:sz w:val="28"/>
        </w:rPr>
        <w:t>已生效、已交割且不可撤销</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过户时间尚存在不确定性</w:t>
      </w:r>
      <w:r>
        <w:rPr>
          <w:rFonts w:ascii="Times New Roman" w:hAnsi="Times New Roman" w:eastAsia="Times New Roman" w:cs="Times New Roman"/>
          <w:b w:val="0"/>
          <w:sz w:val="28"/>
        </w:rPr>
        <w:t>”</w:t>
      </w:r>
      <w:r>
        <w:rPr>
          <w:rFonts w:ascii="Times New Roman" w:hAnsi="Times New Roman" w:eastAsia="仿宋" w:cs="Times New Roman"/>
          <w:b w:val="0"/>
          <w:sz w:val="28"/>
        </w:rPr>
        <w:t>为何能够并存。至于这宗交易买得是否划算，在交易金额、标的财务数据与剩余20%股权安排均未披露的前提下，外部无从判断，这本身也是评估一宗并购可复盘程度时应计入的变量。</w:t>
      </w:r>
    </w:p>
    <w:p>
      <w:pPr>
        <w:spacing w:before="0" w:after="0" w:line="240" w:lineRule="auto" w:beforeLines="0" w:afterLines="0"/>
        <w:jc w:val="both"/>
        <w:ind w:firstLineChars="200"/>
      </w:pPr>
      <w:r>
        <w:rPr>
          <w:rFonts w:ascii="Times New Roman" w:hAnsi="Times New Roman" w:eastAsia="仿宋" w:cs="Times New Roman"/>
          <w:b w:val="0"/>
          <w:sz w:val="28"/>
        </w:rPr>
        <w:t>回到北京东方生态新能源与的基本情况北京东方生，本案的方法论意义不在于把交易结果写成通用并购总结，而在于把公开资料未披露具体交易金额。仅披露：以现金支付方式购买海城锐海100%股权、电投瑞享80%股权；电投瑞享交易对价中剩余40%价款，将于电投瑞享工商变更登记完成之日起10个工作日内支付、海城锐海新能风力发电有限公司：100%股权；北京电投瑞享新能源发展有限公司：80%股权；电投瑞享交易对价中剩余40%价款：于电投瑞享工商变更登记完成之日起10个工作日内支付；证券代码：002310；证券简称：东方新能、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北京东方生态新能源而言，关键是交割承接和整合节奏能否与已披露安排匹配；对的基本情况北京东方生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