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利安人寿保险收购中山公用5%股份：协议转让与交割条件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本案例涉及利安人寿保险股份有限公司（下称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利安人寿保险</w:t>
      </w:r>
      <w:r>
        <w:rPr>
          <w:rFonts w:ascii="Times New Roman" w:hAnsi="Times New Roman" w:eastAsia="Times New Roman" w:cs="Times New Roman"/>
          <w:b w:val="0"/>
          <w:sz w:val="28"/>
        </w:rPr>
        <w:t>”</w:t>
      </w:r>
      <w:r>
        <w:rPr>
          <w:rFonts w:ascii="Times New Roman" w:hAnsi="Times New Roman" w:eastAsia="仿宋" w:cs="Times New Roman"/>
          <w:b w:val="0"/>
          <w:sz w:val="28"/>
        </w:rPr>
        <w:t>）收购中山公用5%股份（下称</w:t>
      </w:r>
      <w:r>
        <w:rPr>
          <w:rFonts w:ascii="Times New Roman" w:hAnsi="Times New Roman" w:eastAsia="Times New Roman" w:cs="Times New Roman"/>
          <w:b w:val="0"/>
          <w:sz w:val="28"/>
        </w:rPr>
        <w:t>“</w:t>
      </w:r>
      <w:r>
        <w:rPr>
          <w:rFonts w:ascii="Times New Roman" w:hAnsi="Times New Roman" w:eastAsia="仿宋" w:cs="Times New Roman"/>
          <w:b w:val="0"/>
          <w:sz w:val="28"/>
        </w:rPr>
        <w:t>中山公用5%股份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公开征集协议转让公司部分股份完成过户登记的公告》，目标线索为公开资料未单独披露受让方（利安人寿）接受该安排的主观原因。可引用的客观安排依据：1）2026年4月1日中山投控与利安人寿签署《股份转让协议》，利安人寿以12.19元/股协议受让73,755,567股无限售流通股。</w:t>
      </w:r>
    </w:p>
    <w:p>
      <w:pPr>
        <w:spacing w:before="0" w:after="0" w:line="240" w:lineRule="auto" w:beforeLines="0" w:afterLines="0"/>
        <w:jc w:val="left"/>
        <w:ind w:firstLineChars="200"/>
      </w:pPr>
      <w:r>
        <w:rPr>
          <w:rFonts w:ascii="Times New Roman" w:hAnsi="Times New Roman" w:eastAsia="仿宋" w:cs="Times New Roman"/>
          <w:b/>
          <w:sz w:val="28"/>
        </w:rPr>
        <w:t>一、交易底稿：2026年4月1日签约、8月21日过户，确定项与推算项须分列</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披露的每股转让价格为12.19元/股；转让股份数量73,755,567股无限售流通股；占转让时总股本5%；交易对价总额公开资料未直接披露（若按12.19元/股×73,755,567股计算约为899,110,361.73元，此为按披露数字推算，非公告原文表述）；时间线包括2026年4月1日：中山投控与利安人。</w:t>
      </w:r>
    </w:p>
    <w:p>
      <w:pPr>
        <w:spacing w:before="0" w:after="0" w:line="240" w:lineRule="auto" w:beforeLines="0" w:afterLines="0"/>
        <w:jc w:val="both"/>
        <w:ind w:firstLineChars="200"/>
      </w:pPr>
      <w:r>
        <w:rPr>
          <w:rFonts w:ascii="Times New Roman" w:hAnsi="Times New Roman" w:eastAsia="仿宋" w:cs="Times New Roman"/>
          <w:b w:val="0"/>
          <w:sz w:val="28"/>
        </w:rPr>
        <w:t>2026年4月1日，中山投控与利安人寿签署《股份转让协议》，约定中山投控以12.19元/股的价格，将其持有的中山公用73,755,567股无限售流通股转让给利安人寿，该数量占公司当时总股本的5%。公告另有一处主体口径须单独记录：本次权益变动由利安人寿保险股份有限公司洮源两全保险（分红型）账户受让上述股份。交易对价总额未在公告中直接披露，按12.19元/股与7。</w:t>
      </w:r>
    </w:p>
    <w:p>
      <w:pPr>
        <w:spacing w:before="0" w:after="0" w:line="240" w:lineRule="auto" w:beforeLines="0" w:afterLines="0"/>
        <w:jc w:val="both"/>
        <w:ind w:firstLineChars="200"/>
      </w:pPr>
      <w:r>
        <w:rPr>
          <w:rFonts w:ascii="Times New Roman" w:hAnsi="Times New Roman" w:eastAsia="仿宋" w:cs="Times New Roman"/>
          <w:b w:val="0"/>
          <w:sz w:val="28"/>
        </w:rPr>
        <w:t>披露链条此前已经展开：公司早前披露了《关于控股股东公开征集协议转让公司部分股份与受让方签署〈股份转让协议〉暨股东权益变动的提示性公告》（公告编号2026-013）《简式权益变动报告书（中山投控）》《简式权益变动报告书（利安人寿）》，以及《关于控股股东公开征集协议转让公司部分股份的进展公告》（公告编号2026-014）。过户前后的持股对比构成最可核验的事实底稿。</w:t>
      </w:r>
    </w:p>
    <w:p>
      <w:pPr>
        <w:spacing w:before="0" w:after="0" w:line="240" w:lineRule="auto" w:beforeLines="0" w:afterLines="0"/>
        <w:jc w:val="left"/>
        <w:ind w:firstLineChars="200"/>
      </w:pPr>
      <w:r>
        <w:rPr>
          <w:rFonts w:ascii="Times New Roman" w:hAnsi="Times New Roman" w:eastAsia="仿宋" w:cs="Times New Roman"/>
          <w:b/>
          <w:sz w:val="28"/>
        </w:rPr>
        <w:t>二、交易如何被发起：公开征集协议转让可确认的目标与未披露的动机边界</w:t>
      </w:r>
    </w:p>
    <w:p>
      <w:pPr>
        <w:spacing w:before="0" w:after="0" w:line="240" w:lineRule="auto" w:beforeLines="0" w:afterLines="0"/>
        <w:jc w:val="both"/>
        <w:ind w:firstLineChars="200"/>
      </w:pPr>
      <w:r>
        <w:rPr>
          <w:rFonts w:ascii="Times New Roman" w:hAnsi="Times New Roman" w:eastAsia="仿宋" w:cs="Times New Roman"/>
          <w:b w:val="0"/>
          <w:sz w:val="28"/>
        </w:rPr>
        <w:t>公告未单独披露利安人寿接受该安排的购买理由，也未单独披露中山投控出让的主观原因，这一点必须先说明，不能用推断填补。能够支撑分析的只有一组客观安排依据。其一，本次是控股股东公开征集协议转让公司部分股份，由中山投控作为出让方发起，2026年4月1日与利安人寿签署《股份转让协议》，价格与股数在协议阶段即被锁定为12.19元/股、73,755,567股。其二，受让载。</w:t>
      </w:r>
    </w:p>
    <w:p>
      <w:pPr>
        <w:spacing w:before="0" w:after="0" w:line="240" w:lineRule="auto" w:beforeLines="0" w:afterLines="0"/>
        <w:jc w:val="both"/>
        <w:ind w:firstLineChars="200"/>
      </w:pPr>
      <w:r>
        <w:rPr>
          <w:rFonts w:ascii="Times New Roman" w:hAnsi="Times New Roman" w:eastAsia="仿宋" w:cs="Times New Roman"/>
          <w:b w:val="0"/>
          <w:sz w:val="28"/>
        </w:rPr>
        <w:t>由这些条款可读出的交易目标与制度后果有三类，且都不涉及控制权。出让方一侧，中山投控在持股由48.98%降至43.95%之后仍是控股股东，交易实现的是控股地位不变条件下的部分股权出让；受让方一侧，利安人寿以分红型产品账户承接股份，合并持股被推高至重要股东区间并附带12个月锁定；标的公司一侧，股东结构中增加了一个持股规模可观的机构股东，但公开资料未披露任何资产注。</w:t>
      </w:r>
    </w:p>
    <w:p>
      <w:pPr>
        <w:spacing w:before="0" w:after="0" w:line="240" w:lineRule="auto" w:beforeLines="0" w:afterLines="0"/>
        <w:jc w:val="left"/>
        <w:ind w:firstLineChars="200"/>
      </w:pPr>
      <w:r>
        <w:rPr>
          <w:rFonts w:ascii="Times New Roman" w:hAnsi="Times New Roman" w:eastAsia="仿宋" w:cs="Times New Roman"/>
          <w:b/>
          <w:sz w:val="28"/>
        </w:rPr>
        <w:t>三、48.98%降至43.95%：5%出让规模与控制权边界之间的距离</w:t>
      </w:r>
    </w:p>
    <w:p>
      <w:pPr>
        <w:spacing w:before="0" w:after="0" w:line="240" w:lineRule="auto" w:beforeLines="0" w:afterLines="0"/>
        <w:jc w:val="both"/>
        <w:ind w:firstLineChars="200"/>
      </w:pPr>
      <w:r>
        <w:rPr>
          <w:rFonts w:ascii="Times New Roman" w:hAnsi="Times New Roman" w:eastAsia="仿宋" w:cs="Times New Roman"/>
          <w:b w:val="0"/>
          <w:sz w:val="28"/>
        </w:rPr>
        <w:t>本案结构可以用两个比例直接概括：出让方48.98%降至43.95%，受让方3.13%升至合并口径的</w:t>
      </w:r>
      <w:r>
        <w:rPr>
          <w:rFonts w:ascii="Times New Roman" w:hAnsi="Times New Roman" w:eastAsia="Times New Roman" w:cs="Times New Roman"/>
          <w:b w:val="0"/>
          <w:sz w:val="28"/>
        </w:rPr>
        <w:t>“</w:t>
      </w:r>
      <w:r>
        <w:rPr>
          <w:rFonts w:ascii="Times New Roman" w:hAnsi="Times New Roman" w:eastAsia="仿宋" w:cs="Times New Roman"/>
          <w:b w:val="0"/>
          <w:sz w:val="28"/>
        </w:rPr>
        <w:t>8.</w:t>
      </w:r>
      <w:r>
        <w:rPr>
          <w:rFonts w:ascii="Times New Roman" w:hAnsi="Times New Roman" w:eastAsia="Times New Roman" w:cs="Times New Roman"/>
          <w:b w:val="0"/>
          <w:sz w:val="28"/>
        </w:rPr>
        <w:t>”</w:t>
      </w:r>
      <w:r>
        <w:rPr>
          <w:rFonts w:ascii="Times New Roman" w:hAnsi="Times New Roman" w:eastAsia="仿宋" w:cs="Times New Roman"/>
          <w:b w:val="0"/>
          <w:sz w:val="28"/>
        </w:rPr>
        <w:t>（原文截断）。5%的出让规模被控制在控制权敏感区间之下，使交易能够落在协议转让与权益变动披露的框架内完成，而不必启动要约收购或控制权变更程序。这既不同于二级市场集中竞价增持，也不同于以取得控制权为目标的股权收购：中山投控过户后仍持有645,122,639股、占43.95%。</w:t>
      </w:r>
    </w:p>
    <w:p>
      <w:pPr>
        <w:spacing w:before="0" w:after="0" w:line="240" w:lineRule="auto" w:beforeLines="0" w:afterLines="0"/>
        <w:jc w:val="both"/>
        <w:ind w:firstLineChars="200"/>
      </w:pPr>
      <w:r>
        <w:rPr>
          <w:rFonts w:ascii="Times New Roman" w:hAnsi="Times New Roman" w:eastAsia="仿宋" w:cs="Times New Roman"/>
          <w:b w:val="0"/>
          <w:sz w:val="28"/>
        </w:rPr>
        <w:t>公开征集与协议转让的组合，还一并处理了受让方选择与价格形成。价格在协议阶段以12.19元/股固定，避免集中竞价路径下建仓成本与价格波动的不确定性；单次协议转让使受让方持股一次跨越5%，出让方与受让方因此成对触发简式权益变动报告书的披露义务，这也解释了《简式权益变动报告书（中山投控）》与《简式权益变动报告书（利安人寿）》同时出现的原因。代价是过程透明度依赖披露。</w:t>
      </w:r>
    </w:p>
    <w:p>
      <w:pPr>
        <w:spacing w:before="0" w:after="0" w:line="240" w:lineRule="auto" w:beforeLines="0" w:afterLines="0"/>
        <w:jc w:val="left"/>
        <w:ind w:firstLineChars="200"/>
      </w:pPr>
      <w:r>
        <w:rPr>
          <w:rFonts w:ascii="Times New Roman" w:hAnsi="Times New Roman" w:eastAsia="仿宋" w:cs="Times New Roman"/>
          <w:b/>
          <w:sz w:val="28"/>
        </w:rPr>
        <w:t>四、12.19元/股的定价锚定：交易量级可标注，估值空间无法验证</w:t>
      </w:r>
    </w:p>
    <w:p>
      <w:pPr>
        <w:spacing w:before="0" w:after="0" w:line="240" w:lineRule="auto" w:beforeLines="0" w:afterLines="0"/>
        <w:jc w:val="both"/>
        <w:ind w:firstLineChars="200"/>
      </w:pPr>
      <w:r>
        <w:rPr>
          <w:rFonts w:ascii="Times New Roman" w:hAnsi="Times New Roman" w:eastAsia="仿宋" w:cs="Times New Roman"/>
          <w:b w:val="0"/>
          <w:sz w:val="28"/>
        </w:rPr>
        <w:t>12.19元/股是本案唯一被明确披露的价格条件，属于公开征集框架下的协议转让定价。将单价与股数相乘得到的约899,110,361.73元，只能作为交易量级的标注，不能等同于公告披露的对价总额；公告同样未披露支付方式、付款进度与资金来源。更实质的限制来自财务信息的缺失：公开资料未披露中山公用的营业收入、净利润、净资产、负债与现金流，也未披露利安人寿的任何财务数。</w:t>
      </w:r>
    </w:p>
    <w:p>
      <w:pPr>
        <w:spacing w:before="0" w:after="0" w:line="240" w:lineRule="auto" w:beforeLines="0" w:afterLines="0"/>
        <w:jc w:val="left"/>
        <w:ind w:firstLineChars="200"/>
      </w:pPr>
      <w:r>
        <w:rPr>
          <w:rFonts w:ascii="Times New Roman" w:hAnsi="Times New Roman" w:eastAsia="仿宋" w:cs="Times New Roman"/>
          <w:b/>
          <w:sz w:val="28"/>
        </w:rPr>
        <w:t>五、洮源两全保险（分红型）账户受让：合并计算、12个月锁定与险资承接的产业基础</w:t>
      </w:r>
    </w:p>
    <w:p>
      <w:pPr>
        <w:spacing w:before="0" w:after="0" w:line="240" w:lineRule="auto" w:beforeLines="0" w:afterLines="0"/>
        <w:jc w:val="both"/>
        <w:ind w:firstLineChars="200"/>
      </w:pPr>
      <w:r>
        <w:rPr>
          <w:rFonts w:ascii="Times New Roman" w:hAnsi="Times New Roman" w:eastAsia="仿宋" w:cs="Times New Roman"/>
          <w:b w:val="0"/>
          <w:sz w:val="28"/>
        </w:rPr>
        <w:t>受让主体为利安人寿保险股份有限公司洮源两全保险（分红型）账户。从披露口径看，可确认的只是受让载体为一个分红型保险产品账户；公告未披露该账户的资金来源、产品规模、存续期限与投资决策安排，不宜作进一步推断。与之配套的是一项明确承诺：利安人寿在本次协议转让标的股份过户完毕后12个月内不减持所受让的公司股份。以2026年8月21日为过户日计算，该承诺覆盖至2027年。</w:t>
      </w:r>
    </w:p>
    <w:p>
      <w:pPr>
        <w:spacing w:before="0" w:after="0" w:line="240" w:lineRule="auto" w:beforeLines="0" w:afterLines="0"/>
        <w:jc w:val="both"/>
        <w:ind w:firstLineChars="200"/>
      </w:pPr>
      <w:r>
        <w:rPr>
          <w:rFonts w:ascii="Times New Roman" w:hAnsi="Times New Roman" w:eastAsia="仿宋" w:cs="Times New Roman"/>
          <w:b w:val="0"/>
          <w:sz w:val="28"/>
        </w:rPr>
        <w:t>另一处口径值得记录：权益变动披露按同一保险机构名下合并持股展开，而非单一账户口径。过户前利安人寿持有46,000,022股、占3.13%，本次由分红型账户受让73,755,567股后，公告披露其三个账户合计持有119,755,589股、占比为</w:t>
      </w:r>
      <w:r>
        <w:rPr>
          <w:rFonts w:ascii="Times New Roman" w:hAnsi="Times New Roman" w:eastAsia="Times New Roman" w:cs="Times New Roman"/>
          <w:b w:val="0"/>
          <w:sz w:val="28"/>
        </w:rPr>
        <w:t>“</w:t>
      </w:r>
      <w:r>
        <w:rPr>
          <w:rFonts w:ascii="Times New Roman" w:hAnsi="Times New Roman" w:eastAsia="仿宋" w:cs="Times New Roman"/>
          <w:b w:val="0"/>
          <w:sz w:val="28"/>
        </w:rPr>
        <w:t>8.</w:t>
      </w:r>
      <w:r>
        <w:rPr>
          <w:rFonts w:ascii="Times New Roman" w:hAnsi="Times New Roman" w:eastAsia="Times New Roman" w:cs="Times New Roman"/>
          <w:b w:val="0"/>
          <w:sz w:val="28"/>
        </w:rPr>
        <w:t>”</w:t>
      </w:r>
      <w:r>
        <w:rPr>
          <w:rFonts w:ascii="Times New Roman" w:hAnsi="Times New Roman" w:eastAsia="仿宋" w:cs="Times New Roman"/>
          <w:b w:val="0"/>
          <w:sz w:val="28"/>
        </w:rPr>
        <w:t>（原文截断，须核对），计算基数为公告披露日的公司总股本1,467,731,130股。由此带来的披露后果是，利安。</w:t>
      </w:r>
    </w:p>
    <w:p>
      <w:pPr>
        <w:spacing w:before="0" w:after="0" w:line="240" w:lineRule="auto" w:beforeLines="0" w:afterLines="0"/>
        <w:jc w:val="both"/>
        <w:ind w:firstLineChars="200"/>
      </w:pPr>
      <w:r>
        <w:rPr>
          <w:rFonts w:ascii="Times New Roman" w:hAnsi="Times New Roman" w:eastAsia="仿宋" w:cs="Times New Roman"/>
          <w:b w:val="0"/>
          <w:sz w:val="28"/>
        </w:rPr>
        <w:t>产业层面的一个待验证情形是：公用事业类上市公司的资产通常被描述为现金流相对稳定、久期较长，与保险资金负债端的长期属性存在久期匹配的叙事空间，这可以部分解释此类标的为何具备机构资金承接的现实基础。但本案公告未披露任何投资目的、配置理由、业务往来或战略合作安排，久期匹配只能作为行业情形提出，用以说明这类股权为何可能进入险资视野，不能写成公告确认的交易目的，也不能据此推断资金安排。</w:t>
      </w:r>
    </w:p>
    <w:p>
      <w:pPr>
        <w:spacing w:before="0" w:after="0" w:line="240" w:lineRule="auto" w:beforeLines="0" w:afterLines="0"/>
        <w:jc w:val="left"/>
        <w:ind w:firstLineChars="200"/>
      </w:pPr>
      <w:r>
        <w:rPr>
          <w:rFonts w:ascii="Times New Roman" w:hAnsi="Times New Roman" w:eastAsia="仿宋" w:cs="Times New Roman"/>
          <w:b/>
          <w:sz w:val="28"/>
        </w:rPr>
        <w:t>六、</w:t>
      </w:r>
      <w:r>
        <w:rPr>
          <w:rFonts w:ascii="Times New Roman" w:hAnsi="Times New Roman" w:eastAsia="Times New Roman" w:cs="Times New Roman"/>
          <w:b/>
          <w:sz w:val="28"/>
        </w:rPr>
        <w:t>“</w:t>
      </w:r>
      <w:r>
        <w:rPr>
          <w:rFonts w:ascii="Times New Roman" w:hAnsi="Times New Roman" w:eastAsia="仿宋" w:cs="Times New Roman"/>
          <w:b/>
          <w:sz w:val="28"/>
        </w:rPr>
        <w:t>5%</w:t>
      </w:r>
      <w:r>
        <w:rPr>
          <w:rFonts w:ascii="Times New Roman" w:hAnsi="Times New Roman" w:eastAsia="Times New Roman" w:cs="Times New Roman"/>
          <w:b/>
          <w:sz w:val="28"/>
        </w:rPr>
        <w:t>”</w:t>
      </w:r>
      <w:r>
        <w:rPr>
          <w:rFonts w:ascii="Times New Roman" w:hAnsi="Times New Roman" w:eastAsia="仿宋" w:cs="Times New Roman"/>
          <w:b/>
          <w:sz w:val="28"/>
        </w:rPr>
        <w:t>在回购注销后的口径重算与公告援引的合规坐标</w:t>
      </w:r>
    </w:p>
    <w:p>
      <w:pPr>
        <w:spacing w:before="0" w:after="0" w:line="240" w:lineRule="auto" w:beforeLines="0" w:afterLines="0"/>
        <w:jc w:val="both"/>
        <w:ind w:firstLineChars="200"/>
      </w:pPr>
      <w:r>
        <w:rPr>
          <w:rFonts w:ascii="Times New Roman" w:hAnsi="Times New Roman" w:eastAsia="仿宋" w:cs="Times New Roman"/>
          <w:b w:val="0"/>
          <w:sz w:val="28"/>
        </w:rPr>
        <w:t>本案在协议签署与过户之间发生了一次股本变动。公司已于2026年5月28日在中国证券登记结算有限责任公司深圳分公司办理完成注销回购股份7,380,221股，总股本由1,475,111,351股减少至1,467,731,130股，公司据此说明本次协议转让股份数量占公司目前总股本比例相应调整。同一批73,755,567股由此出现两个口径：签约时表述为占当时总股本的。</w:t>
      </w:r>
    </w:p>
    <w:p>
      <w:pPr>
        <w:spacing w:before="0" w:after="0" w:line="240" w:lineRule="auto" w:beforeLines="0" w:afterLines="0"/>
        <w:jc w:val="both"/>
        <w:ind w:firstLineChars="200"/>
      </w:pPr>
      <w:r>
        <w:rPr>
          <w:rFonts w:ascii="Times New Roman" w:hAnsi="Times New Roman" w:eastAsia="仿宋" w:cs="Times New Roman"/>
          <w:b w:val="0"/>
          <w:sz w:val="28"/>
        </w:rPr>
        <w:t>合规坐标在公告中被明确引用：本次股份协议转让完成后，相关股东的股份变动将严格遵守《上市公司收购管理办法》《上市公司股东减持股份管理暂行办法》《深圳证券交易所上市公司自律监管指引第18号——股东及董事、高级管理人员减持股份》等规则。这意味着出让方转让后仍持股43.95%、受让方合并持股约8%并附加12个月不减持承诺的后续空间，都由同一套规则体系约束；涉及协议转。</w:t>
      </w:r>
    </w:p>
    <w:p>
      <w:pPr>
        <w:spacing w:before="0" w:after="0" w:line="240" w:lineRule="auto" w:beforeLines="0" w:afterLines="0"/>
        <w:jc w:val="left"/>
        <w:ind w:firstLineChars="200"/>
      </w:pPr>
      <w:r>
        <w:rPr>
          <w:rFonts w:ascii="Times New Roman" w:hAnsi="Times New Roman" w:eastAsia="仿宋" w:cs="Times New Roman"/>
          <w:b/>
          <w:sz w:val="28"/>
        </w:rPr>
        <w:t>七、结语：协议转让与交割条件的核验方法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的可核验事实：中山投控以12.19元/股向利安人寿转让中山公用73,755,567股无限售流通股，占转让时总股本的5%，过户日期为2026年8月21日，2026年8月25日以公告编号2026-038披露完成；受让主体为洮源两全保险（分红型）账户；交易完成后中山投控持股由48.98%降至43.95%，控股股东地位未变，利安人寿三个账户合计持有119,755,589股、占比</w:t>
      </w:r>
      <w:r>
        <w:rPr>
          <w:rFonts w:ascii="Times New Roman" w:hAnsi="Times New Roman" w:eastAsia="Times New Roman" w:cs="Times New Roman"/>
          <w:b w:val="0"/>
          <w:sz w:val="28"/>
        </w:rPr>
        <w:t>“</w:t>
      </w:r>
      <w:r>
        <w:rPr>
          <w:rFonts w:ascii="Times New Roman" w:hAnsi="Times New Roman" w:eastAsia="仿宋" w:cs="Times New Roman"/>
          <w:b w:val="0"/>
          <w:sz w:val="28"/>
        </w:rPr>
        <w:t>8.</w:t>
      </w:r>
      <w:r>
        <w:rPr>
          <w:rFonts w:ascii="Times New Roman" w:hAnsi="Times New Roman" w:eastAsia="Times New Roman" w:cs="Times New Roman"/>
          <w:b w:val="0"/>
          <w:sz w:val="28"/>
        </w:rPr>
        <w:t>”</w:t>
      </w:r>
      <w:r>
        <w:rPr>
          <w:rFonts w:ascii="Times New Roman" w:hAnsi="Times New Roman" w:eastAsia="仿宋" w:cs="Times New Roman"/>
          <w:b w:val="0"/>
          <w:sz w:val="28"/>
        </w:rPr>
        <w:t>（原文截断），并承诺过户完毕后12个月内不减持；公司总股本因注销回购7,380,221股降至1,467,731,130股，使5%成为随股本变动的动态口径。对同类交易，可复用的方法论有三点：出让比例应与控股地位的边际安全结合设计；公开征集协议转让能把受让方选择与价格形成放进同一程序，但征集条件与比选机制公开资料显示未披露，结构可复用而过程不可照搬；当受让方为保险机构并以产品账户受让时，多账户合并持股测算、12个月锁定与每次股本变动后的比例重算，必须在签约前完成，并在披露文件中同时给出</w:t>
      </w:r>
      <w:r>
        <w:rPr>
          <w:rFonts w:ascii="Times New Roman" w:hAnsi="Times New Roman" w:eastAsia="Times New Roman" w:cs="Times New Roman"/>
          <w:b w:val="0"/>
          <w:sz w:val="28"/>
        </w:rPr>
        <w:t>“</w:t>
      </w:r>
      <w:r>
        <w:rPr>
          <w:rFonts w:ascii="Times New Roman" w:hAnsi="Times New Roman" w:eastAsia="仿宋" w:cs="Times New Roman"/>
          <w:b w:val="0"/>
          <w:sz w:val="28"/>
        </w:rPr>
        <w:t>当时总股本</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目前总股本</w:t>
      </w:r>
      <w:r>
        <w:rPr>
          <w:rFonts w:ascii="Times New Roman" w:hAnsi="Times New Roman" w:eastAsia="Times New Roman" w:cs="Times New Roman"/>
          <w:b w:val="0"/>
          <w:sz w:val="28"/>
        </w:rPr>
        <w:t>”</w:t>
      </w:r>
      <w:r>
        <w:rPr>
          <w:rFonts w:ascii="Times New Roman" w:hAnsi="Times New Roman" w:eastAsia="仿宋" w:cs="Times New Roman"/>
          <w:b w:val="0"/>
          <w:sz w:val="28"/>
        </w:rPr>
        <w:t>两套口径。</w:t>
      </w:r>
    </w:p>
    <w:p>
      <w:pPr>
        <w:spacing w:before="0" w:after="0" w:line="240" w:lineRule="auto" w:beforeLines="0" w:afterLines="0"/>
        <w:jc w:val="both"/>
        <w:ind w:firstLineChars="200"/>
      </w:pPr>
      <w:r>
        <w:rPr>
          <w:rFonts w:ascii="Times New Roman" w:hAnsi="Times New Roman" w:eastAsia="仿宋" w:cs="Times New Roman"/>
          <w:b w:val="0"/>
          <w:sz w:val="28"/>
        </w:rPr>
        <w:t>回到利安人寿保险与中山公用5%股份，本案的方法论意义不在于把交易结果写成通用并购总结，而在于把披露的每股转让价格为12.19元/股；转让股份数量73,755,567股无限售流通股；占转让时总股本5%；交易对价总额公开资料未直接披露（若按12.19元/股×73,755,567股计算约为899,110,361.73元，此为按披露数字推算，非公告原文表述）、12.19元/股（协议转让价格）；73,755,567股（本次转让的无限售流通股数量）；5%（本次转让股份占公司当时总股本比例）；48.98%（过户前中山投控持股718,878,206股占目前总股本比例）、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利安人寿保险而言，关键是交割承接和整合节奏能否与已披露安排匹配；对中山公用5%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