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宝鼎投资拟设立收购强力新材5.1443：协议转让与交割条件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本案例涉及宝鼎投资拟设立（下称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宝鼎投资拟设立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）收购强力新材5.1443%股份（下称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强力新材5.1443%股份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交易安排。交易前，本案例先从股权结构、控制权状态、业务状态和产业位置理解双方处境；交易的触发路径来自公告或监管披露《关于控股股东、实际控制人及其一致行动人协议转让部分公司股份过户完成的公告》，目标线索为公开资料未单独披露受让方的主观受让动机；公告可引用的客观安排依据为：2026年6月5日宝鼎投资与转让方签署《强力新材股份转让协议》，拟以10.95元/股受让28,000,000股（占总股本5.1443%），交易总金额306,600,000元；2026年8月10日签署补充协议，将受让主体变更为已设立完成的宝鼎瑞诚私募股权投资基金，价格变更为8.56元/股，交易。一笔占强力新材总股本5.1443%的存量股份协议转让，签约时受让方尚未设立，66天后受让主体与转让价格两项核心条款被同时改写，最终于2026年9月7日完成过户。交易前，常州强力电子新材料股份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强力新材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，证券代码300429）的控制权集中在钱晓春、管军及其一致行动人管国勤、钱瑛、钱小瑛一侧，公司同时存续可转债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强力转债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（债券代码123076）。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一、交易前控制权集中于转让方，披露边界决定了只能做条款核验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事实披露边界上，本案可引用的交易对价、估值或支付口径为28,000,000股；占总股本5.1443%；初始协议转让价格10.95元/股，交易总金额306,600,000元；2026年8月10日补充协议变更后价格8.56元/股，交易总金额239,680,000元；交易方式为协议转让、股权/股份受让；时间线包括2026年6月5日：钱晓春、管军及其一致行动人管国勤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交易前，强力新材为深圳证券交易所创业板上市公司，同时存续可转换公司债券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强力转债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股本结构中含有转股形成的潜在增量股份，任何以总股本为分母的持股比例都会随转股进度变动，5.1443%这一比例基数因此不是静态的。公告将钱晓春、管军界定为控股股东、实际控制人，管国勤、钱瑛、钱小瑛为一致行动人，五方共同构成本次出让主体。转让标的为28,000,000股无限售流通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发起路径清晰且可逐项核对。2026年6月5日，转让方与宝鼎投资签署《强力新材股份转让协议》，拟以10.95元/股转让28,000,000股，占总股本5.1443%，交易总金额306,600,000元，受让方写明为宝鼎投资拟设立并管理的契约型私募投资基金；同日披露2026-025号提示性公告及《简式权益变动报告书》。2026年8月10日，双方签署补充协议，受让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披露边界必须先划定。公告未披露转让方与受让方的主观动机，未披露定价基准日及是否参照市场价格、折溢价的计算依据，未披露宝鼎基金的合伙人结构、资金来源、存续期与退出安排，亦未披露强力新材的营业收入、净利润、负债与现金流。公告中转让前后持股变动表在钱晓春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本次变动前合计持有股份10,500.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处截断，无法还原各方完整持股数量与比例。公司名称指向电子新材料领域，但产。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二、受让主体由</w:t>
      </w:r>
      <w:r>
        <w:rPr>
          <w:rFonts w:ascii="Times New Roman" w:hAnsi="Times New Roman" w:eastAsia="Times New Roman" w:cs="Times New Roman"/>
          <w:b/>
          <w:sz w:val="28"/>
        </w:rPr>
        <w:t>“</w:t>
      </w:r>
      <w:r>
        <w:rPr>
          <w:rFonts w:ascii="Times New Roman" w:hAnsi="Times New Roman" w:eastAsia="仿宋" w:cs="Times New Roman"/>
          <w:b/>
          <w:sz w:val="28"/>
        </w:rPr>
        <w:t>拟设立</w:t>
      </w:r>
      <w:r>
        <w:rPr>
          <w:rFonts w:ascii="Times New Roman" w:hAnsi="Times New Roman" w:eastAsia="Times New Roman" w:cs="Times New Roman"/>
          <w:b/>
          <w:sz w:val="28"/>
        </w:rPr>
        <w:t>”</w:t>
      </w:r>
      <w:r>
        <w:rPr>
          <w:rFonts w:ascii="Times New Roman" w:hAnsi="Times New Roman" w:eastAsia="仿宋" w:cs="Times New Roman"/>
          <w:b/>
          <w:sz w:val="28"/>
        </w:rPr>
        <w:t>变更为</w:t>
      </w:r>
      <w:r>
        <w:rPr>
          <w:rFonts w:ascii="Times New Roman" w:hAnsi="Times New Roman" w:eastAsia="Times New Roman" w:cs="Times New Roman"/>
          <w:b/>
          <w:sz w:val="28"/>
        </w:rPr>
        <w:t>“</w:t>
      </w:r>
      <w:r>
        <w:rPr>
          <w:rFonts w:ascii="Times New Roman" w:hAnsi="Times New Roman" w:eastAsia="仿宋" w:cs="Times New Roman"/>
          <w:b/>
          <w:sz w:val="28"/>
        </w:rPr>
        <w:t>已设立完成</w:t>
      </w:r>
      <w:r>
        <w:rPr>
          <w:rFonts w:ascii="Times New Roman" w:hAnsi="Times New Roman" w:eastAsia="Times New Roman" w:cs="Times New Roman"/>
          <w:b/>
          <w:sz w:val="28"/>
        </w:rPr>
        <w:t>”</w:t>
      </w:r>
      <w:r>
        <w:rPr>
          <w:rFonts w:ascii="Times New Roman" w:hAnsi="Times New Roman" w:eastAsia="仿宋" w:cs="Times New Roman"/>
          <w:b/>
          <w:sz w:val="28"/>
        </w:rPr>
        <w:t>，补充协议首先补齐的是交割主体适格性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初始协议中受让方为宝鼎投资拟设立并管理的契约型私募投资基金，即2026年6月5日签约时实际承接股份的主体尚未存在，签约主体与管理主体均为宝鼎投资，未来履行受让与付款义务的却是另一主体。这一安排有现实基础：管理人可先行锁定股份数量与交易条件，待基金完成设立、募集与备案后由其承接。但主体未设立即签约，也把不确定性前置到协议阶段——在中登办理过户需受让方持有可用证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需要说明的是，公告并未披露初始协议是否约定主体变更的条件与期限，未披露宝鼎基金的设立、募集与备案时点，也未披露该基金与宝鼎投资之间的管理权限划分。受让主体在协议签署后方完成设立，本身并不违反规则，但它把交易的可执行性绑定在基金设立进度上，买方尽调时需将设立、备案与过户条件作为同一组条款审阅。因此可以确认的只是条款变更的结果与时间，而非变更的动因；把这次变更解释为交易一度受阻或各方达成新的商业让步，都超出公开材料所能支撑的范围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三、66天内同一批28,000,000股出现两个价格，总金额由306,600,000元降至239,680,000元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同一批28,000,000股在两个时点对应两个价格：初始10.95元/股、总金额306,600,000元，变更后8.56元/股、总金额239,680,000元，每股下调2.39元，总金额减少66,920,000元，两个口径降幅均约21.8%。这说明协议转让的定价并不必然在首次签约时一次性锁定，在取得合规确认并完成过户之前，双方仍存在以补充协议重新确定对价的空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价格为何调整，公告未给出理由，也未披露定价基准日与是否以某一期间市场价格为参照，因此不能把这次下调解释为标的公司基本面、市场环境或估值重估的结果，亦不宜由过户顺利完成反推降价的必要性，补充协议、合规性确认与过户登记之间的因果关系同样未披露。可确证的只是结果：双方就同一标的达成新的价格合意并按新价格交割。对转让方而言，单位股份变现收入下降，但交易得以继续推进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四、5.1443%越过权益变动披露线而未触及控制权变更，12个月锁定限定受让方的处置边界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5.1443%具有明确的规则含义：高于5%的权益变动披露线，因此需披露《简式权益变动报告书》；远低于30%的要约收购触发线，不构成对上市公司的收购。公告仍将钱晓春、管军表述为控股股东、实际控制人，一致行动人范围未变，说明在公告口径下本次转让未导致控制权认定发生变化，公告亦明确本次转让不存在违反《上市公司收购管理办法》等相关规定的情形。治理层面的边界同样清楚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受让方承诺自过户登记完成之日起12个月内不以任何方式主动减持本次受让股份，这构成对持有与退出的硬约束：自2026年9月7日起算至2027年9月7日前，宝鼎基金不能主动处置该28,000,000股。公告未对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主动减持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作进一步定义，未说明质押处置、司法执行或可转债转股导致的持股被动变化是否落在承诺范围内，也未披露基金存续期与退出安排，因此无法判断锁定期与基金期限是否匹配，锁定期满后的处置路径同样缺少公开依据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五、结语：协议转让与交割条件的核验方法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回到本案的交易双方与对价结构：出让方为钱晓春、管军及其一致行动人管国勤、钱瑛、钱小瑛，受让方为宝鼎基金，标的为28,000,000股无限售流通股，占强力新材总股本5.1443%，对价由306,600,000元调整为239,680,000元，并附加过户完成之日起12个月不主动减持承诺，2026年9月7日完成过户。对同类交易的方法论意义有三点。其一，受让主体未设立即签约并非不可行，但需以补充协议补齐主体适格性，并作为独立节点披露；本案在66天后同时变更主体与价格，并通过2026-034号公告及新的《简式权益变动报告书》对外说明，形成可追溯的披露链条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其二，协议转让的对价在合规确认与过户完成前仍具可协商性，买方在资金安排上应预留价格重定空间，卖方应预期对价并非一次性锁定；本案每股10.95元的下调对应66,920,000元的对价变动，量级足以影响基金的单笔投资测算。</w:t>
      </w:r>
      <w:r>
        <w:rPr>
          <w:rFonts w:ascii="Times New Roman" w:hAnsi="Times New Roman" w:eastAsia="仿宋" w:cs="Times New Roman"/>
          <w:b w:val="0"/>
          <w:sz w:val="28"/>
        </w:rPr>
        <w:t>其三，5.1443%既触发权益变动披露，又未触及控制权变更与要约收购，其治理含义取决于后续是否出现董事提名、表决权安排等未披露事项。截至披露日，公告称过户登记办理情况与款项支付情况与前期披露、协议约定安排一致，这是本案可验证完成度最高的表述，也是交割核验的基础口径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留下的空白同样需要明确：转让前后各方完整持股结构因公告表格截断而无法还原，宝鼎基金的合伙人结构与资金来源未披露，强力新材的营业收入、净利润与现金流未披露，10.95元/股与8.56元/股相对市场价格的高低无从计算，价格调整与合规确认、过户登记之间的因果关系亦无公开依据。产业判断只能停留在可转债存续影响股本比例基数这一机制层面。对同类交易而言，受让主体设立进度、价格重定条款与锁定期限，是在签署协议前就需要逐项确认的三项内容；在信息披露不完整的情况下，条款与流程的核验比动机判断更能支撑决策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回到宝鼎投资拟设立与强力新材5.1443，本案的方法论意义不在于把交易结果写成通用并购总结，而在于把28,000,000股；占总股本5.1443%；初始协议转让价格10.95元/股，交易总金额306,600,000元；2026年8月10日补充协议变更后价格8.56元/股，交易总金额239,680,000元；交易方式为协议转让、股权/股份受让、28,000,000股（无限售流通股）；5.1443%（占强力新材总股本比例）；10.95元/股（初始协议转让价格）；306,600,000元（初始交易总金额）、控制权、股权比例、支付方式和交割条件放在同一披露链条中核验。因此，同类并购首先要确认信息披露是否足以支撑估值锚、条款安排、治理边界和交易执行；其次要把产业链位置、客户结构、产能、技术路线、资源禀赋和商业模式放回标的业务承接中判断；最后才评估收入、净利润、现金流、负债、资产、市值、订单、客户和用户等财务影响。对宝鼎投资拟设立而言，关键是交割承接和整合节奏能否与已披露安排匹配；对强力新材5.1443而言，关键是控制权或股东接受机制能否在公开资料边界内被持续验证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