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国家电投产融收购国家电投相关电力资产：交易复盘</w:t>
      </w:r>
    </w:p>
    <w:p>
      <w:pPr>
        <w:spacing w:before="0" w:after="0" w:line="240" w:lineRule="auto" w:beforeLines="0" w:afterLines="0"/>
        <w:jc w:val="both"/>
        <w:ind w:firstLineChars="200"/>
      </w:pPr>
      <w:r>
        <w:rPr>
          <w:rFonts w:ascii="Times New Roman" w:hAnsi="Times New Roman" w:eastAsia="仿宋" w:cs="Times New Roman"/>
          <w:b w:val="0"/>
          <w:sz w:val="28"/>
        </w:rPr>
        <w:t>2025年4月，国家电投集团产融控股股份有限公司（下称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电投产融</w:t>
      </w:r>
      <w:r>
        <w:rPr>
          <w:rFonts w:ascii="Times New Roman" w:hAnsi="Times New Roman" w:eastAsia="Times New Roman" w:cs="Times New Roman"/>
          <w:b w:val="0"/>
          <w:sz w:val="28"/>
        </w:rPr>
        <w:t>”</w:t>
      </w:r>
      <w:r>
        <w:rPr>
          <w:rFonts w:ascii="Times New Roman" w:hAnsi="Times New Roman" w:eastAsia="仿宋" w:cs="Times New Roman"/>
          <w:b w:val="0"/>
          <w:sz w:val="28"/>
        </w:rPr>
        <w:t>，000958）重大资产置换及配套融资方案获批；同年12月，公司宣布以约554亿元购买国家电投集团持有的电力资产，拟转型为核电巨头；2026年5月，向特定对象发行股份募集配套资金完成，交易实质落地。这一组合交易以</w:t>
      </w:r>
      <w:r>
        <w:rPr>
          <w:rFonts w:ascii="Times New Roman" w:hAnsi="Times New Roman" w:eastAsia="Times New Roman" w:cs="Times New Roman"/>
          <w:b w:val="0"/>
          <w:sz w:val="28"/>
        </w:rPr>
        <w:t>“</w:t>
      </w:r>
      <w:r>
        <w:rPr>
          <w:rFonts w:ascii="Times New Roman" w:hAnsi="Times New Roman" w:eastAsia="仿宋" w:cs="Times New Roman"/>
          <w:b w:val="0"/>
          <w:sz w:val="28"/>
        </w:rPr>
        <w:t>资产置换+发行股份购买资产+配套融资</w:t>
      </w:r>
      <w:r>
        <w:rPr>
          <w:rFonts w:ascii="Times New Roman" w:hAnsi="Times New Roman" w:eastAsia="Times New Roman" w:cs="Times New Roman"/>
          <w:b w:val="0"/>
          <w:sz w:val="28"/>
        </w:rPr>
        <w:t>”</w:t>
      </w:r>
      <w:r>
        <w:rPr>
          <w:rFonts w:ascii="Times New Roman" w:hAnsi="Times New Roman" w:eastAsia="仿宋" w:cs="Times New Roman"/>
          <w:b w:val="0"/>
          <w:sz w:val="28"/>
        </w:rPr>
        <w:t>的嵌套结构，为央企将一级资产注入上市平台并实现主业转型提供了可复制的样本。核心复盘问题：交易结构如何平衡集团资产证券化需求与上市公司治理要求？产业整合过程中，什么因素决定了交易节奏与最终落地？</w:t>
      </w:r>
    </w:p>
    <w:p>
      <w:pPr>
        <w:spacing w:before="0" w:after="0" w:line="240" w:lineRule="auto" w:beforeLines="0" w:afterLines="0"/>
        <w:jc w:val="left"/>
        <w:ind w:firstLineChars="200"/>
      </w:pPr>
      <w:r>
        <w:rPr>
          <w:rFonts w:ascii="Times New Roman" w:hAnsi="Times New Roman" w:eastAsia="仿宋" w:cs="Times New Roman"/>
          <w:b/>
          <w:sz w:val="28"/>
        </w:rPr>
        <w:t>一、集团资产优化：国家电投集团注入电力资产的双重动因</w:t>
      </w:r>
    </w:p>
    <w:p>
      <w:pPr>
        <w:spacing w:before="0" w:after="0" w:line="240" w:lineRule="auto" w:beforeLines="0" w:afterLines="0"/>
        <w:jc w:val="both"/>
        <w:ind w:firstLineChars="200"/>
      </w:pPr>
      <w:r>
        <w:rPr>
          <w:rFonts w:ascii="Times New Roman" w:hAnsi="Times New Roman" w:eastAsia="仿宋" w:cs="Times New Roman"/>
          <w:b w:val="0"/>
          <w:sz w:val="28"/>
        </w:rPr>
        <w:t>电投产融原为国家电投集团旗下的产融控股平台，主营金融、保险、信托等业务。截至2024年底，公司资产规模约数百亿元，营收主要来自利息收入和手续费。然而，金融业务与集团电力主业的协同效应有限，且在央企</w:t>
      </w:r>
      <w:r>
        <w:rPr>
          <w:rFonts w:ascii="Times New Roman" w:hAnsi="Times New Roman" w:eastAsia="Times New Roman" w:cs="Times New Roman"/>
          <w:b w:val="0"/>
          <w:sz w:val="28"/>
        </w:rPr>
        <w:t>“</w:t>
      </w:r>
      <w:r>
        <w:rPr>
          <w:rFonts w:ascii="Times New Roman" w:hAnsi="Times New Roman" w:eastAsia="仿宋" w:cs="Times New Roman"/>
          <w:b w:val="0"/>
          <w:sz w:val="28"/>
        </w:rPr>
        <w:t>聚焦主责主业</w:t>
      </w:r>
      <w:r>
        <w:rPr>
          <w:rFonts w:ascii="Times New Roman" w:hAnsi="Times New Roman" w:eastAsia="Times New Roman" w:cs="Times New Roman"/>
          <w:b w:val="0"/>
          <w:sz w:val="28"/>
        </w:rPr>
        <w:t>”</w:t>
      </w:r>
      <w:r>
        <w:rPr>
          <w:rFonts w:ascii="Times New Roman" w:hAnsi="Times New Roman" w:eastAsia="仿宋" w:cs="Times New Roman"/>
          <w:b w:val="0"/>
          <w:sz w:val="28"/>
        </w:rPr>
        <w:t>的监管要求下，产融平台面临业务边界受限的问题。集团内部，金融板块与电力板块的估值差异明显，金融资产通常按市净率估值较低，而电力资产尤其是核电资产具有更优的估值空间和现金流特征。</w:t>
      </w:r>
    </w:p>
    <w:p>
      <w:pPr>
        <w:spacing w:before="0" w:after="0" w:line="240" w:lineRule="auto" w:beforeLines="0" w:afterLines="0"/>
        <w:jc w:val="both"/>
        <w:ind w:firstLineChars="200"/>
      </w:pPr>
      <w:r>
        <w:rPr>
          <w:rFonts w:ascii="Times New Roman" w:hAnsi="Times New Roman" w:eastAsia="仿宋" w:cs="Times New Roman"/>
          <w:b w:val="0"/>
          <w:sz w:val="28"/>
        </w:rPr>
        <w:t>国家电投集团是五大发电集团之一，在核电领域拥有技术优势和多个在建项目。据证券时报报道，本次交易标的资产包括核电及清洁能源资产，交易金额约554亿元。交易完成后，电投产融将从金融控股公司转型为以核电为主的电力运营企业，成为A股第三家</w:t>
      </w:r>
      <w:r>
        <w:rPr>
          <w:rFonts w:ascii="Times New Roman" w:hAnsi="Times New Roman" w:eastAsia="Times New Roman" w:cs="Times New Roman"/>
          <w:b w:val="0"/>
          <w:sz w:val="28"/>
        </w:rPr>
        <w:t>“</w:t>
      </w:r>
      <w:r>
        <w:rPr>
          <w:rFonts w:ascii="Times New Roman" w:hAnsi="Times New Roman" w:eastAsia="仿宋" w:cs="Times New Roman"/>
          <w:b w:val="0"/>
          <w:sz w:val="28"/>
        </w:rPr>
        <w:t>国字号</w:t>
      </w:r>
      <w:r>
        <w:rPr>
          <w:rFonts w:ascii="Times New Roman" w:hAnsi="Times New Roman" w:eastAsia="Times New Roman" w:cs="Times New Roman"/>
          <w:b w:val="0"/>
          <w:sz w:val="28"/>
        </w:rPr>
        <w:t>”</w:t>
      </w:r>
      <w:r>
        <w:rPr>
          <w:rFonts w:ascii="Times New Roman" w:hAnsi="Times New Roman" w:eastAsia="仿宋" w:cs="Times New Roman"/>
          <w:b w:val="0"/>
          <w:sz w:val="28"/>
        </w:rPr>
        <w:t>核电巨头。从产业背景看，碳中和目标下核电作为清洁基荷电源的战略地位提升，国家电投集团将成熟核电资产注入上市公司，既可盘活存量，又可借助资本市场支持后续核电项目的大规模建设。</w:t>
      </w:r>
    </w:p>
    <w:p>
      <w:pPr>
        <w:spacing w:before="0" w:after="0" w:line="240" w:lineRule="auto" w:beforeLines="0" w:afterLines="0"/>
        <w:jc w:val="both"/>
        <w:ind w:firstLineChars="200"/>
      </w:pPr>
      <w:r>
        <w:rPr>
          <w:rFonts w:ascii="Times New Roman" w:hAnsi="Times New Roman" w:eastAsia="仿宋" w:cs="Times New Roman"/>
          <w:b w:val="0"/>
          <w:sz w:val="28"/>
        </w:rPr>
        <w:t>对于出售方国家电投集团而言，接受这一交易结构的动机清晰：一方面，集团需要盘活存量资产，优化资产负债结构；另一方面，通过上市公司平台引入外部资金，可减轻集团自身投资压力。资产置换方式避免了直接出售资产带来的税务负担和审批复杂性问题，同时保留了集团对核心资产的最终控制权（通过持股上市公司）。此外，核电行业前期投资巨大、建设周期长，集团通过资产证券化将成熟项目注入上市公司，可以提前回收资本金，用于后续核电项目的滚动开发，提高资本运作效率。这种</w:t>
      </w:r>
      <w:r>
        <w:rPr>
          <w:rFonts w:ascii="Times New Roman" w:hAnsi="Times New Roman" w:eastAsia="Times New Roman" w:cs="Times New Roman"/>
          <w:b w:val="0"/>
          <w:sz w:val="28"/>
        </w:rPr>
        <w:t>“</w:t>
      </w:r>
      <w:r>
        <w:rPr>
          <w:rFonts w:ascii="Times New Roman" w:hAnsi="Times New Roman" w:eastAsia="仿宋" w:cs="Times New Roman"/>
          <w:b w:val="0"/>
          <w:sz w:val="28"/>
        </w:rPr>
        <w:t>一个项目建成、注入上市平台、回收资金再建新项目</w:t>
      </w:r>
      <w:r>
        <w:rPr>
          <w:rFonts w:ascii="Times New Roman" w:hAnsi="Times New Roman" w:eastAsia="Times New Roman" w:cs="Times New Roman"/>
          <w:b w:val="0"/>
          <w:sz w:val="28"/>
        </w:rPr>
        <w:t>”</w:t>
      </w:r>
      <w:r>
        <w:rPr>
          <w:rFonts w:ascii="Times New Roman" w:hAnsi="Times New Roman" w:eastAsia="仿宋" w:cs="Times New Roman"/>
          <w:b w:val="0"/>
          <w:sz w:val="28"/>
        </w:rPr>
        <w:t>的循环模式，在电力央企中已有先例，本交易是这一模式的典型应用。</w:t>
      </w:r>
    </w:p>
    <w:p>
      <w:pPr>
        <w:spacing w:before="0" w:after="0" w:line="240" w:lineRule="auto" w:beforeLines="0" w:afterLines="0"/>
        <w:jc w:val="left"/>
        <w:ind w:firstLineChars="200"/>
      </w:pPr>
      <w:r>
        <w:rPr>
          <w:rFonts w:ascii="Times New Roman" w:hAnsi="Times New Roman" w:eastAsia="仿宋" w:cs="Times New Roman"/>
          <w:b/>
          <w:sz w:val="28"/>
        </w:rPr>
        <w:t>二、三连环结构：资产置换、股份支付与配套融资的组合逻辑</w:t>
      </w:r>
    </w:p>
    <w:p>
      <w:pPr>
        <w:spacing w:before="0" w:after="0" w:line="240" w:lineRule="auto" w:beforeLines="0" w:afterLines="0"/>
        <w:jc w:val="both"/>
        <w:ind w:firstLineChars="200"/>
      </w:pPr>
      <w:r>
        <w:rPr>
          <w:rFonts w:ascii="Times New Roman" w:hAnsi="Times New Roman" w:eastAsia="仿宋" w:cs="Times New Roman"/>
          <w:b w:val="0"/>
          <w:sz w:val="28"/>
        </w:rPr>
        <w:t>本次交易采用</w:t>
      </w:r>
      <w:r>
        <w:rPr>
          <w:rFonts w:ascii="Times New Roman" w:hAnsi="Times New Roman" w:eastAsia="Times New Roman" w:cs="Times New Roman"/>
          <w:b w:val="0"/>
          <w:sz w:val="28"/>
        </w:rPr>
        <w:t>“</w:t>
      </w:r>
      <w:r>
        <w:rPr>
          <w:rFonts w:ascii="Times New Roman" w:hAnsi="Times New Roman" w:eastAsia="仿宋" w:cs="Times New Roman"/>
          <w:b w:val="0"/>
          <w:sz w:val="28"/>
        </w:rPr>
        <w:t>重大资产置换+发行股份购买资产+募集配套资金</w:t>
      </w:r>
      <w:r>
        <w:rPr>
          <w:rFonts w:ascii="Times New Roman" w:hAnsi="Times New Roman" w:eastAsia="Times New Roman" w:cs="Times New Roman"/>
          <w:b w:val="0"/>
          <w:sz w:val="28"/>
        </w:rPr>
        <w:t>”</w:t>
      </w:r>
      <w:r>
        <w:rPr>
          <w:rFonts w:ascii="Times New Roman" w:hAnsi="Times New Roman" w:eastAsia="仿宋" w:cs="Times New Roman"/>
          <w:b w:val="0"/>
          <w:sz w:val="28"/>
        </w:rPr>
        <w:t>三环节组合。第一步，电投产融以持有的金融资产与集团持有的电力资产进行置换，差额部分通过发行股份支付。资产置换的评估基准日和定价遵循国有资产评估相关规定，由独立评估机构出具报告，评估方法通常采用资产基础法或收益法，确保置出与置入资产的定价公平合理。第二步，发行股份购买资产，确保支付对价与资产价值匹配，避免现金大额流出对上市公司流动性造成压力。第三步，向特定投资者发行股份募集配套资金，用于标的项目建设和补充流动资金。</w:t>
      </w:r>
    </w:p>
    <w:p>
      <w:pPr>
        <w:spacing w:before="0" w:after="0" w:line="240" w:lineRule="auto" w:beforeLines="0" w:afterLines="0"/>
        <w:jc w:val="both"/>
        <w:ind w:firstLineChars="200"/>
      </w:pPr>
      <w:r>
        <w:rPr>
          <w:rFonts w:ascii="Times New Roman" w:hAnsi="Times New Roman" w:eastAsia="仿宋" w:cs="Times New Roman"/>
          <w:b w:val="0"/>
          <w:sz w:val="28"/>
        </w:rPr>
        <w:t>据发行情况报告书披露，独立财务顾问为中信证券和中银国际证券，法律顾问为北京中伦律师事务所。配套融资的发行对象为符合监管要求的机构投资者，发行价格根据市场化询价确定，募集资金规模与项目资金需求紧密挂钩。这种三步走的结构设计，既实现了集团资产注入，又通过引入外部投资者优化了公司治理。资产置换环节的关键在于置出金融资产的定价与置入电力资产的定价之间的对称性，公告中全体董事、审计与风险管理委员会成员对报告书真实性负责，体现了关联交易中的内控机制。</w:t>
      </w:r>
    </w:p>
    <w:p>
      <w:pPr>
        <w:spacing w:before="0" w:after="0" w:line="240" w:lineRule="auto" w:beforeLines="0" w:afterLines="0"/>
        <w:jc w:val="both"/>
        <w:ind w:firstLineChars="200"/>
      </w:pPr>
      <w:r>
        <w:rPr>
          <w:rFonts w:ascii="Times New Roman" w:hAnsi="Times New Roman" w:eastAsia="仿宋" w:cs="Times New Roman"/>
          <w:b w:val="0"/>
          <w:sz w:val="28"/>
        </w:rPr>
        <w:t>交易结构另一个精巧之处在于时间安排：先获批方案，再执行资产置换和股份发行，最后完成配套融资。每一步均需满足监管条件，但组合设计使得整体交易可在一个连贯的周期内完成，降低了不确定性。具体而言，资产置换与股份发行互为条件，配套融资则可根据市场情况灵活择机，这种递进式安排确保了交易执行的节奏可控。从财务顾问的核查意见看，交易定价符合国有资产管理规定，且配套融资的发行对象均为合规投资者，不存在利益输送情形。</w:t>
      </w:r>
    </w:p>
    <w:p>
      <w:pPr>
        <w:spacing w:before="0" w:after="0" w:line="240" w:lineRule="auto" w:beforeLines="0" w:afterLines="0"/>
        <w:jc w:val="left"/>
        <w:ind w:firstLineChars="200"/>
      </w:pPr>
      <w:r>
        <w:rPr>
          <w:rFonts w:ascii="Times New Roman" w:hAnsi="Times New Roman" w:eastAsia="仿宋" w:cs="Times New Roman"/>
          <w:b/>
          <w:sz w:val="28"/>
        </w:rPr>
        <w:t>三、从方案获批到资金到位：13个月监管快跑的关键节点</w:t>
      </w:r>
    </w:p>
    <w:p>
      <w:pPr>
        <w:spacing w:before="0" w:after="0" w:line="240" w:lineRule="auto" w:beforeLines="0" w:afterLines="0"/>
        <w:jc w:val="both"/>
        <w:ind w:firstLineChars="200"/>
      </w:pPr>
      <w:r>
        <w:rPr>
          <w:rFonts w:ascii="Times New Roman" w:hAnsi="Times New Roman" w:eastAsia="仿宋" w:cs="Times New Roman"/>
          <w:b w:val="0"/>
          <w:sz w:val="28"/>
        </w:rPr>
        <w:t>交易时间线清晰：2025年4月，重大资产置换及配套融资方案获监管批准；2025年12月，公司公告购买约554亿元资产，拟转型为核电巨头；2026年5月，完成向特定对象发行股份募集配套资金，发行情况报告书及法律意见书同步披露。整个交易周期约13个月，在央企重大重组项目中属于较快节奏。值得留意的是，从方案获批到资产购买公告间隔约8个月，这期间公司完成了资产交割和审计评估等前置程序；而从资产购买公告到配套融资完成仅5个月，体现了执行效率。</w:t>
      </w:r>
    </w:p>
    <w:p>
      <w:pPr>
        <w:spacing w:before="0" w:after="0" w:line="240" w:lineRule="auto" w:beforeLines="0" w:afterLines="0"/>
        <w:jc w:val="both"/>
        <w:ind w:firstLineChars="200"/>
      </w:pPr>
      <w:r>
        <w:rPr>
          <w:rFonts w:ascii="Times New Roman" w:hAnsi="Times New Roman" w:eastAsia="仿宋" w:cs="Times New Roman"/>
          <w:b w:val="0"/>
          <w:sz w:val="28"/>
        </w:rPr>
        <w:t>监管审批是央企资产重组的核心环节。本次交易涉及关联交易、国有资产评估、反垄断审查以及证券监管审批。电投产融在2025年4月即获得方案批准，说明前期与国资委、证监会等部门的沟通充分，交易方案符合政策导向。法律意见书确认发行过程和认购对象合规，独立财务顾问对交易定价和程序进行了核查。2026年5月的发行情况报告书显示，配套融资发行顺利完成，认购对象包括多家机构投资者，表明市场对转型前景认可。在央企资产证券化实践中，监管审批的节奏往往受到方案复杂程度、关联交易定价透明度以及产业政策窗口期的影响。本次交易能够在13个月内走完所有程序，与交易结构清晰、资产权属明确、集团内部协调高效密切相关。</w:t>
      </w:r>
    </w:p>
    <w:p>
      <w:pPr>
        <w:spacing w:before="0" w:after="0" w:line="240" w:lineRule="auto" w:beforeLines="0" w:afterLines="0"/>
        <w:jc w:val="left"/>
        <w:ind w:firstLineChars="200"/>
      </w:pPr>
      <w:r>
        <w:rPr>
          <w:rFonts w:ascii="Times New Roman" w:hAnsi="Times New Roman" w:eastAsia="仿宋" w:cs="Times New Roman"/>
          <w:b/>
          <w:sz w:val="28"/>
        </w:rPr>
        <w:t>四、财务质变：资产规模跃升与估值逻辑切换</w:t>
      </w:r>
    </w:p>
    <w:p>
      <w:pPr>
        <w:spacing w:before="0" w:after="0" w:line="240" w:lineRule="auto" w:beforeLines="0" w:afterLines="0"/>
        <w:jc w:val="both"/>
        <w:ind w:firstLineChars="200"/>
      </w:pPr>
      <w:r>
        <w:rPr>
          <w:rFonts w:ascii="Times New Roman" w:hAnsi="Times New Roman" w:eastAsia="仿宋" w:cs="Times New Roman"/>
          <w:b w:val="0"/>
          <w:sz w:val="28"/>
        </w:rPr>
        <w:t>交易前，电投产融作为金融控股公司，资产规模约数百亿元，净利润来源以金融业务为主，营收稳定性受利率和信用周期影响较大。注入554亿元电力资产后，公司总资产规模跃升至千亿元级别，营业收入结构转向售电收入。核电资产具有高壁垒、稳定现金流的特点，据同行业上市公司公开数据，核电企业毛利率通常在40%以上，经营性现金流充沛，且收入受电价政策保护，波动性远低于金融业务。</w:t>
      </w:r>
    </w:p>
    <w:p>
      <w:pPr>
        <w:spacing w:before="0" w:after="0" w:line="240" w:lineRule="auto" w:beforeLines="0" w:afterLines="0"/>
        <w:jc w:val="both"/>
        <w:ind w:firstLineChars="200"/>
      </w:pPr>
      <w:r>
        <w:rPr>
          <w:rFonts w:ascii="Times New Roman" w:hAnsi="Times New Roman" w:eastAsia="仿宋" w:cs="Times New Roman"/>
          <w:b w:val="0"/>
          <w:sz w:val="28"/>
        </w:rPr>
        <w:t>据证券时报报道，交易后公司拟转型为核电巨头。市场反应正面，股价在方案公布后有所上涨。但财务影响需要从多个角度审视：首先，资产置换导致置出金融资产对应的收入和利润消失，短期内可能影响合并报表的盈利表现，但置入电力资产的盈利能力应与被置换资产相当或更优。其次，配套融资的发行会稀释原有股权，但募集资金用于项目建设和资本支出，旨在提升长期回报。从估值角度，上市公司原有的金融板块估值（通常市净率1倍以下）切换至电力公用事业估值（通常市净率1-2倍，市盈率15-20倍），相关安排指向带来市值重估。具体财务数据需等待后续定期报告披露，但资产规模的增长已经是确定性事件。此外，核电资产的折旧年限较长（通常超过20年），与金融资产相比，其折旧摊销对利润的影响需要投资者在后续季报中关注；同时，核电运营的燃料成本及乏燃料处理成本也是影响利润的重要变量。</w:t>
      </w:r>
    </w:p>
    <w:p>
      <w:pPr>
        <w:spacing w:before="0" w:after="0" w:line="240" w:lineRule="auto" w:beforeLines="0" w:afterLines="0"/>
        <w:jc w:val="left"/>
        <w:ind w:firstLineChars="200"/>
      </w:pPr>
      <w:r>
        <w:rPr>
          <w:rFonts w:ascii="Times New Roman" w:hAnsi="Times New Roman" w:eastAsia="仿宋" w:cs="Times New Roman"/>
          <w:b/>
          <w:sz w:val="28"/>
        </w:rPr>
        <w:t>五、内部整合的优势与挑战：集团同一控制下的交割承接</w:t>
      </w:r>
    </w:p>
    <w:p>
      <w:pPr>
        <w:spacing w:before="0" w:after="0" w:line="240" w:lineRule="auto" w:beforeLines="0" w:afterLines="0"/>
        <w:jc w:val="both"/>
        <w:ind w:firstLineChars="200"/>
      </w:pPr>
      <w:r>
        <w:rPr>
          <w:rFonts w:ascii="Times New Roman" w:hAnsi="Times New Roman" w:eastAsia="仿宋" w:cs="Times New Roman"/>
          <w:b w:val="0"/>
          <w:sz w:val="28"/>
        </w:rPr>
        <w:t>重大资产重组涉及人员安置、资产过户、债权债务承继等复杂事宜。本次交易为同一集团内的关联交易，整合难度相对较小。电投产融在公告中明确，交易完成后将承接标的资产对应的业务、人员和管理体系。法律意见书指出，发行过程和认购对象合规，资产过户手续应当已经履行。独立财务顾问对资产定价和交易程序进行了核查，确认交易定价符合国有资产评估管理规定，且不存在损害上市公司股东利益的情形。</w:t>
      </w:r>
    </w:p>
    <w:p>
      <w:pPr>
        <w:spacing w:before="0" w:after="0" w:line="240" w:lineRule="auto" w:beforeLines="0" w:afterLines="0"/>
        <w:jc w:val="both"/>
        <w:ind w:firstLineChars="200"/>
      </w:pPr>
      <w:r>
        <w:rPr>
          <w:rFonts w:ascii="Times New Roman" w:hAnsi="Times New Roman" w:eastAsia="仿宋" w:cs="Times New Roman"/>
          <w:b w:val="0"/>
          <w:sz w:val="28"/>
        </w:rPr>
        <w:t>交割关键点包括：置出金融资产与置入电力资产的评估基准日差异带来的净资产变动、税务处理、以及后续并表协调。央企内部整合通常通过集团层面统筹解决，但上市公司仍需关注少数股东权益和关联交易定价的公允性。电力资产运营管理需要专业团队，电投产融原有管理层缺乏电力行业经验，因此人员整合和管理体系对接是交易后重要任务。从公告披露的董事及高级管理人员阵容看，公司已引入具备电力背景的董事（如王俊等），可能为后续管理过渡做准备。</w:t>
      </w:r>
    </w:p>
    <w:p>
      <w:pPr>
        <w:spacing w:before="0" w:after="0" w:line="240" w:lineRule="auto" w:beforeLines="0" w:afterLines="0"/>
        <w:jc w:val="both"/>
        <w:ind w:firstLineChars="200"/>
      </w:pPr>
      <w:r>
        <w:rPr>
          <w:rFonts w:ascii="Times New Roman" w:hAnsi="Times New Roman" w:eastAsia="仿宋" w:cs="Times New Roman"/>
          <w:b w:val="0"/>
          <w:sz w:val="28"/>
        </w:rPr>
        <w:t>此外，核电项目涉及安全运维等特殊要求，集团可能需要提供持续技术支持。关联交易防范机制方面，公司设置了审计与风险管理委员会，并在公告中由全体董事声明对报告书真实性负责。投资者可关注后续定期报告中对关联交易的披露，以及公司是否制定有效的业务独立运作计划。从已披露信息看，交易方案已充分考虑了人员稳定和业务衔接，但实际效果取决于执行。在同一控制下整合，虽然协调成本较低，但上市公司治理独立性需要保持，避免集团过度干预日常经营。</w:t>
      </w:r>
    </w:p>
    <w:p>
      <w:pPr>
        <w:spacing w:before="0" w:after="0" w:line="240" w:lineRule="auto" w:beforeLines="0" w:afterLines="0"/>
        <w:jc w:val="left"/>
        <w:ind w:firstLineChars="200"/>
      </w:pPr>
      <w:r>
        <w:rPr>
          <w:rFonts w:ascii="Times New Roman" w:hAnsi="Times New Roman" w:eastAsia="仿宋" w:cs="Times New Roman"/>
          <w:b/>
          <w:sz w:val="28"/>
        </w:rPr>
        <w:t>六、结语：组合交易结构在央企资产证券化中的关键作用</w:t>
      </w:r>
    </w:p>
    <w:p>
      <w:pPr>
        <w:spacing w:before="0" w:after="0" w:line="240" w:lineRule="auto" w:beforeLines="0" w:afterLines="0"/>
        <w:jc w:val="both"/>
        <w:ind w:firstLineChars="200"/>
      </w:pPr>
      <w:r>
        <w:rPr>
          <w:rFonts w:ascii="Times New Roman" w:hAnsi="Times New Roman" w:eastAsia="仿宋" w:cs="Times New Roman"/>
          <w:b w:val="0"/>
          <w:sz w:val="28"/>
        </w:rPr>
        <w:t>电投产融案例清晰展示了央企利用上市公司平台实现资产证券化与主业转型的典型路径。其组合交易结构的成功实施，为同类交易提供了四点可参考的方法：首先，交易结构需根据壳公司资产特征定制，选择</w:t>
      </w:r>
      <w:r>
        <w:rPr>
          <w:rFonts w:ascii="Times New Roman" w:hAnsi="Times New Roman" w:eastAsia="Times New Roman" w:cs="Times New Roman"/>
          <w:b w:val="0"/>
          <w:sz w:val="28"/>
        </w:rPr>
        <w:t>“</w:t>
      </w:r>
      <w:r>
        <w:rPr>
          <w:rFonts w:ascii="Times New Roman" w:hAnsi="Times New Roman" w:eastAsia="仿宋" w:cs="Times New Roman"/>
          <w:b w:val="0"/>
          <w:sz w:val="28"/>
        </w:rPr>
        <w:t>资产置换</w:t>
      </w:r>
      <w:r>
        <w:rPr>
          <w:rFonts w:ascii="Times New Roman" w:hAnsi="Times New Roman" w:eastAsia="Times New Roman" w:cs="Times New Roman"/>
          <w:b w:val="0"/>
          <w:sz w:val="28"/>
        </w:rPr>
        <w:t>”</w:t>
      </w:r>
      <w:r>
        <w:rPr>
          <w:rFonts w:ascii="Times New Roman" w:hAnsi="Times New Roman" w:eastAsia="仿宋" w:cs="Times New Roman"/>
          <w:b w:val="0"/>
          <w:sz w:val="28"/>
        </w:rPr>
        <w:t>可以避免现金支付压力，同时实现</w:t>
      </w:r>
      <w:r>
        <w:rPr>
          <w:rFonts w:ascii="Times New Roman" w:hAnsi="Times New Roman" w:eastAsia="Times New Roman" w:cs="Times New Roman"/>
          <w:b w:val="0"/>
          <w:sz w:val="28"/>
        </w:rPr>
        <w:t>“</w:t>
      </w:r>
      <w:r>
        <w:rPr>
          <w:rFonts w:ascii="Times New Roman" w:hAnsi="Times New Roman" w:eastAsia="仿宋" w:cs="Times New Roman"/>
          <w:b w:val="0"/>
          <w:sz w:val="28"/>
        </w:rPr>
        <w:t>腾笼换鸟</w:t>
      </w:r>
      <w:r>
        <w:rPr>
          <w:rFonts w:ascii="Times New Roman" w:hAnsi="Times New Roman" w:eastAsia="Times New Roman" w:cs="Times New Roman"/>
          <w:b w:val="0"/>
          <w:sz w:val="28"/>
        </w:rPr>
        <w:t>”</w:t>
      </w:r>
      <w:r>
        <w:rPr>
          <w:rFonts w:ascii="Times New Roman" w:hAnsi="Times New Roman" w:eastAsia="仿宋" w:cs="Times New Roman"/>
          <w:b w:val="0"/>
          <w:sz w:val="28"/>
        </w:rPr>
        <w:t>；其次，关联交易定价必须严格遵循评估程序，并通过独立的财务顾问和法律意见背书，确保合规与公允；第三，时间规划应预留足够的监管审批窗口，提前与国资委、证监会等部门沟通，以缩短审批周期。本交易从获批到落地仅13个月，体现了前期沟通的成效；第四，配套融资的发行时点需与市场环境匹配，本次在2025年12月资产购买公告后，于2026年5月完成发行，市场窗口选择较为成功。</w:t>
      </w:r>
    </w:p>
    <w:p>
      <w:pPr>
        <w:spacing w:before="0" w:after="0" w:line="240" w:lineRule="auto" w:beforeLines="0" w:afterLines="0"/>
        <w:jc w:val="both"/>
        <w:ind w:firstLineChars="200"/>
      </w:pPr>
      <w:r>
        <w:rPr>
          <w:rFonts w:ascii="Times New Roman" w:hAnsi="Times New Roman" w:eastAsia="仿宋" w:cs="Times New Roman"/>
          <w:b w:val="0"/>
          <w:sz w:val="28"/>
        </w:rPr>
        <w:t>值得关注的是，本交易中出售方国家电投集团接受资产置换的原因，除了资产证券化需求外，还在于通过上市公司平台获得持续融资能力，支持核电业务发展。对于其他央企而言，若集团内部存在与主业协同性较弱的上市平台，可考虑类似方案剥离金融等非核心资产，注入集团优势产业资产。交易完成后，电投产融的主营业务从金融转为核电，其后续再融资能力将直接与新资产的经营表现挂钩。</w:t>
      </w:r>
    </w:p>
    <w:p>
      <w:pPr>
        <w:spacing w:before="0" w:after="0" w:line="240" w:lineRule="auto" w:beforeLines="0" w:afterLines="0"/>
        <w:jc w:val="both"/>
        <w:ind w:firstLineChars="200"/>
      </w:pPr>
      <w:r>
        <w:rPr>
          <w:rFonts w:ascii="Times New Roman" w:hAnsi="Times New Roman" w:eastAsia="仿宋" w:cs="Times New Roman"/>
          <w:b w:val="0"/>
          <w:sz w:val="28"/>
        </w:rPr>
        <w:t>风险层面，资产置换后上市公司能否实现业务协同和管理融合，取决于投后整合能力。核电行业技术门槛高，上市公司需要建立相应的人才储备和安全管理体系，避免因专业经验不足导致运营风险。此外，配套融资规模若过大可能产生摊薄效应，实际募集金额与项目进度需紧密匹配。总体而言，电投产融重组为央企资产证券化提供了可复制的路径，但每家企业需根据自身资产质量和战略定位，审慎设计交易结构和整合方案。</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