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Intel收购Altera权给银湖资本：交易复盘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2015年，英特尔以167亿美元收购FPGA厂商Altera，试图打造CPU+FPGA融合计算平台。十年后，这起交易以出售控股权收场——银湖资本于2025年完成对Altera多数股权的收购。一进一出之间，折射出硬科技并购最核心的难题：整合并非终点，承接才是决胜环节。本案例复盘英特尔为何剥离、银湖如何承接，以及PE资本在硬科技资产再定位中的角色边界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一、协同落空：英特尔收购Altera后的整合困境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Altera曾是FPGA行业双寡头之一，与Xilinx合计占据约80%市场份额。英特尔收购的逻辑在于：随着数据中心负载多样化，CPU通用计算效率下降，FPGA可编程硬件加速被视为关键补充。2015年，英特尔以167亿美元现金完成收购，溢价约56%。收购后，Altera被并入可编程解决方案事业部（PSG），原管理层大量流失，研发自主性受限。据公开报道，文化冲突迅速显现：Altera团队习惯于FPGA灵活快速迭代，强调客户定制和短期产品周期；英特尔则倾向大规模制造和长期路线规划，决策流程冗长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产品层面的协同也落空。英特尔试图将FPGA与Xeon处理器封装集成，推出Xeon+FPGA平台，但客户接受度有限。多数数据中心用户倾向于独立FPGA板卡，而非捆绑方案。更关键的是，2018年后GPU在AI训练领域爆发，英伟达的CUDA生态迅速取代FPGA成为主流加速方案，FPGA的应用场景被压缩至通信、工业等边缘领域。据公开数据，Altera在被收购后的数年里营收规模未见显著增长，盈利能力弱于英特尔核心业务。英特尔自身的10纳米制程延迟、CPU市场份额被AMD蚕食，使得管理层无暇顾及非核心资产。到2023年，英特尔数据中心业务收入同比下降15%，投资者对多元化并购的耐心耗尽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产业层面，FPGA市场格局在2020年后出现变化：Xilinx被AMD以498亿美元收购后，Altera面临的最大竞争对手变成了AMD+FPGA组合。Altera在英特尔体系内缺乏明确的产品优先级，部分客户转向Lattice等中小厂商。据行业分析，Altera在被收购后每年研发投入占收入比例有所下降，与Xilinx形成差距。整合导致的工程师流失也影响了产品路线图，Altera的后续新品推出频率低于同行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二、减负与聚焦：英特尔为何选择出售控股权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2024年，英特尔股价跌至十年低位，投资者持续施压要求聚焦核心CPU业务和晶圆代工（IDM 2.0战略）。据公开报道，英特尔首席执行官帕特·基辛格在内部重新评估所有非核心资产，Altera被列为可能剥离的对象。出售控股权而非完全剥离，是更优的财务安排：完全剥离将产生巨额资本利得税，且Altera若独立上市需披露详细财务数据，可能暴露其在英特尔体系内的低效运营；保留少数股权则能在财报中继续分享FPGA业务增长（若实现），同时收回数十亿美元现金用于核心业务投资。据市场分析，此类交易中英特尔通常保留20%—30%股权，并获得董事会席位，以保留战略知情权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银湖资本的介入时机值得关注。2024—2025年半导体行业周期性下行接近尾声，AI推理和边缘计算对FPGA需求回升。Altera在低功耗FPGA和嵌入式领域仍有技术积累，客户关系稳定。银湖以低于英特尔收购成本的价格取得控股权，为后续资本化预留了空间。据新浪财经2025年2月报道，银湖资本拟收购Altera多数股权，交易于2025年完成，具体金额和股权比例尚未披露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英特尔的财务压力看，其净债务在2024年一度超过500亿美元，资本支出因晶圆代工扩张居高不下。剥离Altera控股权可立即改善资产负债率，且所得现金可用于支持先进制程研发。英特尔选择银湖而非产业买家，是为了避免增强竞争对手的FPGA实力——若出售给AMD或Lattice，可能直接反噬自身数据中心业务。银湖作为财务投资者，对英特尔的竞争威胁最小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三、治理重置：控股权出让中的交易结构与估值推测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由于公开资料未披露交易金额与股权比例，以下分析基于行业惯例与媒体报道。交易预计采用全现金收购，银湖资金来源为自有资金加杠杆贷款。据半导体并购常见估值倍数（市场通常为15—25倍EBITDA），Altera若年收入约20亿美元（参考2015年营收18亿美元，但增长缓慢），EBITDA利润率假设在20%—25%，则EBITDA约4—5亿美元，对应估值可能在60—125亿美元区间。但考虑到Altera近年增长乏力，且英特尔急于剥离，实际估值可能落在30—50亿美元区间。英特尔2015年收购耗资167亿美元，此次出售控股权回笼现金显著低于收购价，体现了硬科技资产整合失败后的价值折损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治理层面，银湖作为控股权收购方，通常获得董事会多数席位，并有权更换管理层。据银湖以往交易惯例（如其此前收购Avaya、Phillips半导体等），要求管理层由具有行业经验的管理人担任，银湖派驻1—2名合伙人进入董事会。交易结构可能包含管理层激励计划，例如设置目标估值翻倍后的期权池。此外，银湖可能通过优先股或可转债设计，保障优先退出权。英特尔保留少数股权的一个考量是：若Altera在银湖运营下成功扭亏或实现IPO，英特尔可以分享上行收益；若表现不佳，少数股权减值损失有限。这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风险隔离+潜在收益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的安排，避免了完全剥离带来的税务和商誉减值冲击。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交易中可能还包含过渡期服务协议（TSA），英特尔暂时为Altera提供IT、财务等后台支持，为期12—18个月，以确保运营平稳过渡。这类安排在前沿半导体交易中常见，例如Ansys出售给Synopsys前也签署了类似协议。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四、运营重塑：银湖的承接蓝图与价值修复路径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银湖接管后，首要任务是稳定组织。Altera在被英特尔整合期间，核心研发人员流失问题突出——据行业传闻，英特尔将部分Altera工程师转岗至CPU部门，导致FPGA产品迭代减缓。银湖需通过股权激励和薪酬方案留住关键团队，并重建独立的工程文化。业务层面，银湖可能推动Altera从英特尔的定制化路线回归独立市场。Altera的产品线与英特尔CPU解绑后，可向更多客户提供FPGA解决方案，包括AMD、英伟达等竞争对手的生态。边缘计算和嵌入式领域是Altera的优势区——其Cyclone系列在工业控制和通信设备中广泛应用。银湖还可能裁减与英特尔协同相关的研发项目，聚焦高毛利市场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成本优化是PE的典型能力。Altera在英特尔体系内可能承担了较高的管理费用和间接成本，独立后可通过削减冗余部门、外包制造（Altera产品由台积电代工，本就独立于英特尔）提升利润率。据市场估算，PE主导的半导体资产剥离通常可在18个月内实现EBITDA利润率提升5—10个百分点。Altera拥有稳定的客户基础（包括华为、爱立信等通信设备商），过渡期内需谨慎维护客户关系，避免因所有权变更导致订单流失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退出路径方面，银湖可能在3—5年内推动Altera重新上市（IPO），或将其出售给产业买家。2024年11月《电子工程专辑》报道，莱迪思曾考虑收购Altera。若莱迪思与Altera合并，可形成FPGA第二极对抗日月光（AMD）。但该交易若成行将面临反垄断审查，因为合并后FPGA市场集中度会更高。银湖的退出时机取决于市场估值修复进度，以及Altera能否在独立后实现收入和利润双增长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五、方法论重构：硬科技资产承接的三大支柱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Intel-Altera案例揭示，大型科技公司在并购硬科技资产时，整合的成败往往在交割前就已埋下伏笔。首先，文化评估不可或缺。英特尔与Altera的组织基因差异（CPU标准化vs FPGA定制化）在交易前未被充分重视，导致人才流失和产品路线冲突。并购前应通过独立尽调评估双方在管理风格、决策速度和客户导向等维度的一致性，并预留独立运营选项。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其次，协同假设需经压力测试。英特尔对FPGA+CPU融合的乐观预期未能充分预判GPU的崛起和客户偏好。并购方应在交易前构建技术替代风险矩阵，评估协同假设的最坏情景，并在交易条款中设置业绩对赌或分拆权。例如，若协同收入3年内未达阈值，买方有权强制出售标的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第三，PE等财务投资者可以成为硬科技资产的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/>
          <w:sz w:val="28"/>
        </w:rPr>
        <w:t>价值修复师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/>
          <w:sz w:val="28"/>
        </w:rPr>
        <w:t>，但仅限于标的具备独立造血能力的场景。</w:t>
      </w:r>
      <w:r>
        <w:rPr>
          <w:rFonts w:ascii="Times New Roman" w:hAnsi="Times New Roman" w:eastAsia="仿宋" w:cs="Times New Roman"/>
          <w:b w:val="0"/>
          <w:sz w:val="28"/>
        </w:rPr>
        <w:t>Altera拥有成熟产品线、稳定客户和代工独立性，这使银湖的运营改造成为可能。若资产完全依赖收购方生态（如定制化供应链），PE介入难以奏效。从资本化角度，控股权出售而非完全剥离是上市公司减负的常用工具。英特尔通过保留少数股权实现税务优化和上行分享，同时将运营责任转移至专业PE。这一结构在Johnson Controls剥离汽车电池业务等案例中已有先例，关键在于评估资产是否具备独立运营的竞争力。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六、结语：资产再定位的三重条件——文化、资产独立性与交易结构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Altera控股权易手，是一次典型的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整合失败后的资产再资本化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它提醒决策者：硬科技并购的价值并非仅靠购入时刻的协同蓝图，而是取决于交割后能否实现有效的承接。承接需要满足三个条件：第一，资产本身具有独立的产品和客户基础，不被收购方生态完全绑定；第二，买家拥有专业的运营改造能力，而非仅提供财务杠杆；第三，交易结构为双方预留退出和风险隔离空间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例中，英特尔以167亿美元买入，最终以远低于该价格的估值出售控股权，财务损失具体数字虽未披露，但资产价值折损清晰可见。银湖以PE身份进入，承担起运营修复的职责，其成功与否取决于能否在3—5年内实现Altera的独立盈利和估值提升。对于计划展开边缘收购的企业，应在交易前即构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最坏情况下的退出路径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，而非将所有希望寄托于协同。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