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微牛证券通过SPAC收购上市：交易复盘</w:t>
      </w:r>
    </w:p>
    <w:p>
      <w:pPr>
        <w:spacing w:before="0" w:after="0" w:line="240" w:lineRule="auto" w:beforeLines="0" w:afterLines="0"/>
        <w:jc w:val="both"/>
        <w:ind w:firstLineChars="200"/>
      </w:pPr>
      <w:r>
        <w:rPr>
          <w:rFonts w:ascii="Times New Roman" w:hAnsi="Times New Roman" w:eastAsia="仿宋" w:cs="Times New Roman"/>
          <w:b w:val="0"/>
          <w:sz w:val="28"/>
        </w:rPr>
        <w:t>2025年，金融科技公司微牛证券（Webull Corporation）通过与一家特殊目的收购公司合并，在纳斯达克完成上市。这家拥有高瓴资本和小米等股东背景的互联网券商，在经调整净利润同比下滑65%的背景下，获得了从51亿美元到167亿美元不等的市场估值。盈利承压与高估值并存的现象，需要从交易结构设计、估值支撑逻辑和赛道前景三个维度拆解，以理解SPAC如何为盈利波动期的成长型企业提供上市通道。</w:t>
      </w:r>
    </w:p>
    <w:p>
      <w:pPr>
        <w:spacing w:before="0" w:after="0" w:line="240" w:lineRule="auto" w:beforeLines="0" w:afterLines="0"/>
        <w:jc w:val="left"/>
        <w:ind w:firstLineChars="200"/>
      </w:pPr>
      <w:r>
        <w:rPr>
          <w:rFonts w:ascii="Times New Roman" w:hAnsi="Times New Roman" w:eastAsia="仿宋" w:cs="Times New Roman"/>
          <w:b/>
          <w:sz w:val="28"/>
        </w:rPr>
        <w:t>一、盈利承压下的路径选择：SPAC何以成为微牛证券的上市通道</w:t>
      </w:r>
    </w:p>
    <w:p>
      <w:pPr>
        <w:spacing w:before="0" w:after="0" w:line="240" w:lineRule="auto" w:beforeLines="0" w:afterLines="0"/>
        <w:jc w:val="both"/>
        <w:ind w:firstLineChars="200"/>
      </w:pPr>
      <w:r>
        <w:rPr>
          <w:rFonts w:ascii="Times New Roman" w:hAnsi="Times New Roman" w:eastAsia="仿宋" w:cs="Times New Roman"/>
          <w:b w:val="0"/>
          <w:sz w:val="28"/>
        </w:rPr>
        <w:t>微牛证券成立于2016年，由王安全创立，面向全球投资者提供零佣金数字证券交易服务，主要产品包括美股、港股及衍生品交易APP。公司股东包括高瓴资本、小米等知名机构，其商业模式与富途证券（Futu Holdings Ltd.，NASDAQ:FUTU）和老虎证券（UP Fintech Holding Ltd.，NASDAQ:TIGR）类似，依赖用户增长和交易量驱动营收。据公开报道，公司年营收约3.9亿美元，但经调整净利润下滑65%，盈利能力显著削弱。</w:t>
      </w:r>
    </w:p>
    <w:p>
      <w:pPr>
        <w:spacing w:before="0" w:after="0" w:line="240" w:lineRule="auto" w:beforeLines="0" w:afterLines="0"/>
        <w:jc w:val="both"/>
        <w:ind w:firstLineChars="200"/>
      </w:pPr>
      <w:r>
        <w:rPr>
          <w:rFonts w:ascii="Times New Roman" w:hAnsi="Times New Roman" w:eastAsia="仿宋" w:cs="Times New Roman"/>
          <w:b w:val="0"/>
          <w:sz w:val="28"/>
        </w:rPr>
        <w:t>在此背景下，传统首次公开发行面临时间窗口不确定和估值承压的风险。据市场分析，SPAC路径则提供了更灵活的安排：合并交易可与SPAC壳公司协商估值，并通过上市后私募投资（PIPE）锁定部分资金，缩短上市时间并减少市场波动影响。微牛证券的股东和管理层认为，SPAC合并能够更快实现上市目标，并使公司获得资金支持以继续扩张用户规模。</w:t>
      </w:r>
    </w:p>
    <w:p>
      <w:pPr>
        <w:spacing w:before="0" w:after="0" w:line="240" w:lineRule="auto" w:beforeLines="0" w:afterLines="0"/>
        <w:jc w:val="both"/>
        <w:ind w:firstLineChars="200"/>
      </w:pPr>
      <w:r>
        <w:rPr>
          <w:rFonts w:ascii="Times New Roman" w:hAnsi="Times New Roman" w:eastAsia="仿宋" w:cs="Times New Roman"/>
          <w:b w:val="0"/>
          <w:sz w:val="28"/>
        </w:rPr>
        <w:t>从买方视角看，SPAC发起人愿意与微牛合并，是因为微牛拥有快速增长的用户基础和覆盖全球的金融科技平台，具备成为行业整合者的潜力。若合并后股价表现良好，发起人持有的创办人股份将获得可观回报。同时，参与合并后私募投资的机构（如高瓴、小米等原有股东追加投资）也希望通过支持微牛上市获取未来的资本增值。从卖方（微牛原股东）的动机来看，接受SPAC合并意味着其持有的非上市公司股份能够迅速转化为流动性较高的上市公司股票，且合并估值可能高于传统IPO在当前盈利下滑环境下能达到的水平。此外，SPAC交易为原股东提供了明确的锁定期和退出路径。</w:t>
      </w:r>
    </w:p>
    <w:p>
      <w:pPr>
        <w:spacing w:before="0" w:after="0" w:line="240" w:lineRule="auto" w:beforeLines="0" w:afterLines="0"/>
        <w:jc w:val="left"/>
        <w:ind w:firstLineChars="200"/>
      </w:pPr>
      <w:r>
        <w:rPr>
          <w:rFonts w:ascii="Times New Roman" w:hAnsi="Times New Roman" w:eastAsia="仿宋" w:cs="Times New Roman"/>
          <w:b/>
          <w:sz w:val="28"/>
        </w:rPr>
        <w:t>二、对价结构的多层设计：从企业价值到市值的估值阶梯</w:t>
      </w:r>
    </w:p>
    <w:p>
      <w:pPr>
        <w:spacing w:before="0" w:after="0" w:line="240" w:lineRule="auto" w:beforeLines="0" w:afterLines="0"/>
        <w:jc w:val="both"/>
        <w:ind w:firstLineChars="200"/>
      </w:pPr>
      <w:r>
        <w:rPr>
          <w:rFonts w:ascii="Times New Roman" w:hAnsi="Times New Roman" w:eastAsia="仿宋" w:cs="Times New Roman"/>
          <w:b w:val="0"/>
          <w:sz w:val="28"/>
        </w:rPr>
        <w:t>微牛证券SPAC合并的具体条款未在公开资料中完整披露，但据路演演示材料和多家媒体报道，交易估值在不同阶段呈现差异。合并协议中约定的企业价值约51亿美元，含上市后私募投资的股权价值升至约73亿美元，而上市后首个交易日市值一度突破167亿美元。这种估值阶梯反映了SPAC交易中常见的结构设计。</w:t>
      </w:r>
    </w:p>
    <w:p>
      <w:pPr>
        <w:spacing w:before="0" w:after="0" w:line="240" w:lineRule="auto" w:beforeLines="0" w:afterLines="0"/>
        <w:jc w:val="both"/>
        <w:ind w:firstLineChars="200"/>
      </w:pPr>
      <w:r>
        <w:rPr>
          <w:rFonts w:ascii="Times New Roman" w:hAnsi="Times New Roman" w:eastAsia="仿宋" w:cs="Times New Roman"/>
          <w:b w:val="0"/>
          <w:sz w:val="28"/>
        </w:rPr>
        <w:t>典型SPAC合并中，对价分为三部分：SPAC信托资金（通常每单位10美元）中扣除赎回后的现金、向目标股东发行的上市公司股份、以及基于业绩目标的对赌安排（earnout）。据市场分析，微牛证券交易可能包含了盈利保障条款：若合并后公司经调整净利润未能达到特定门槛，微牛原股东需向SPAC投资者返还部分股份或现金。在净利润大幅下滑的背景下，这类条款对保护SPAC投资者利益至关重要，但也给了微牛管理层改善业绩的压力。</w:t>
      </w:r>
    </w:p>
    <w:p>
      <w:pPr>
        <w:spacing w:before="0" w:after="0" w:line="240" w:lineRule="auto" w:beforeLines="0" w:afterLines="0"/>
        <w:jc w:val="both"/>
        <w:ind w:firstLineChars="200"/>
      </w:pPr>
      <w:r>
        <w:rPr>
          <w:rFonts w:ascii="Times New Roman" w:hAnsi="Times New Roman" w:eastAsia="仿宋" w:cs="Times New Roman"/>
          <w:b w:val="0"/>
          <w:sz w:val="28"/>
        </w:rPr>
        <w:t>上市后私募投资的参与也为估值提供了支撑。据媒体报道，高瓴资本、小米等战略投资者在合并前后参与了上市后私募投资，认购价格为与合并估值挂钩的折扣价。上市后私募投资既为微牛带来了额外的融资（据公开报道约数亿美元），也向二级市场传递了专业机构认可的积极信号。然而，若上市后私募投资价格高于实际价值，其面临亏损风险，因而交易架构中的信息对称和财务预测质量成为关键。</w:t>
      </w:r>
    </w:p>
    <w:p>
      <w:pPr>
        <w:spacing w:before="0" w:after="0" w:line="240" w:lineRule="auto" w:beforeLines="0" w:afterLines="0"/>
        <w:jc w:val="both"/>
        <w:ind w:firstLineChars="200"/>
      </w:pPr>
      <w:r>
        <w:rPr>
          <w:rFonts w:ascii="Times New Roman" w:hAnsi="Times New Roman" w:eastAsia="仿宋" w:cs="Times New Roman"/>
          <w:b w:val="0"/>
          <w:sz w:val="28"/>
        </w:rPr>
        <w:t>从交割后的承接安排看，微牛证券原股东获得了上市公司股份，并设有锁定期，通常为6个月。SPAC发起人则通过发起人股份（一般为合并后股权的20%）获得收益，但若股价下跌，其收益可能大幅缩水。这种利益绑定机制使各方在合并后都有动力推动公司业绩改善。</w:t>
      </w:r>
    </w:p>
    <w:p>
      <w:pPr>
        <w:spacing w:before="0" w:after="0" w:line="240" w:lineRule="auto" w:beforeLines="0" w:afterLines="0"/>
        <w:jc w:val="left"/>
        <w:ind w:firstLineChars="200"/>
      </w:pPr>
      <w:r>
        <w:rPr>
          <w:rFonts w:ascii="Times New Roman" w:hAnsi="Times New Roman" w:eastAsia="仿宋" w:cs="Times New Roman"/>
          <w:b/>
          <w:sz w:val="28"/>
        </w:rPr>
        <w:t>三、估值差异的根源：三种口径的财务逻辑与市场预期</w:t>
      </w:r>
    </w:p>
    <w:p>
      <w:pPr>
        <w:spacing w:before="0" w:after="0" w:line="240" w:lineRule="auto" w:beforeLines="0" w:afterLines="0"/>
        <w:jc w:val="both"/>
        <w:ind w:firstLineChars="200"/>
      </w:pPr>
      <w:r>
        <w:rPr>
          <w:rFonts w:ascii="Times New Roman" w:hAnsi="Times New Roman" w:eastAsia="仿宋" w:cs="Times New Roman"/>
          <w:b w:val="0"/>
          <w:sz w:val="28"/>
        </w:rPr>
        <w:t>围绕微牛证券的估值，多家媒体报道出现显著差异：51亿美元、73亿美元、167亿美元。这些数字并非矛盾，而是对应不同估值口径。据公开资料分析，51亿美元应为合并协议中约定的企业价值，即交易对价的基础金额；73亿美元可能包含了上市后私募投资融资后的股权价值；而167亿美元则是上市首日二级市场市值，由市场供需和情绪驱动。</w:t>
      </w:r>
    </w:p>
    <w:p>
      <w:pPr>
        <w:spacing w:before="0" w:after="0" w:line="240" w:lineRule="auto" w:beforeLines="0" w:afterLines="0"/>
        <w:jc w:val="both"/>
        <w:ind w:firstLineChars="200"/>
      </w:pPr>
      <w:r>
        <w:rPr>
          <w:rFonts w:ascii="Times New Roman" w:hAnsi="Times New Roman" w:eastAsia="仿宋" w:cs="Times New Roman"/>
          <w:b w:val="0"/>
          <w:sz w:val="28"/>
        </w:rPr>
        <w:t>按企业价值51亿美元、年营收3.9亿美元计算，市销率约13倍。按167亿美元市值计算，市销率高达43倍。相比之下，据公开数据，富途证券在2025年的市销率约8-10倍，老虎证券约5-7倍。微牛证券的估值溢价并非来自当前盈利，而是市场对其用户规模和增长潜力的押注。据路演材料，微牛证券全球注册用户数增速显著，且零佣金模式在年轻投资者中渗透率持续提升，这为高估值提供了故事支撑。</w:t>
      </w:r>
    </w:p>
    <w:p>
      <w:pPr>
        <w:spacing w:before="0" w:after="0" w:line="240" w:lineRule="auto" w:beforeLines="0" w:afterLines="0"/>
        <w:jc w:val="both"/>
        <w:ind w:firstLineChars="200"/>
      </w:pPr>
      <w:r>
        <w:rPr>
          <w:rFonts w:ascii="Times New Roman" w:hAnsi="Times New Roman" w:eastAsia="仿宋" w:cs="Times New Roman"/>
          <w:b w:val="0"/>
          <w:sz w:val="28"/>
        </w:rPr>
        <w:t>但净利润下滑65%意味着公司尚未将用户增长有效转化为利润。若市场预期未来盈利能力改善不及预期，股价存在回调风险。此外，不同媒体报道中金额的混淆也常见于SPAC案例：公告中的企业价值通常不包含上市后私募投资，而媒体报道有时会直接使用合并后股权价值甚至市值。投资者在参考估值时应明确口径，并与同行业竞争对手的估值水平进行校准。</w:t>
      </w:r>
    </w:p>
    <w:p>
      <w:pPr>
        <w:spacing w:before="0" w:after="0" w:line="240" w:lineRule="auto" w:beforeLines="0" w:afterLines="0"/>
        <w:jc w:val="left"/>
        <w:ind w:firstLineChars="200"/>
      </w:pPr>
      <w:r>
        <w:rPr>
          <w:rFonts w:ascii="Times New Roman" w:hAnsi="Times New Roman" w:eastAsia="仿宋" w:cs="Times New Roman"/>
          <w:b/>
          <w:sz w:val="28"/>
        </w:rPr>
        <w:t>四、财务背离的拆解：营收增长与净利下滑的驱动力</w:t>
      </w:r>
    </w:p>
    <w:p>
      <w:pPr>
        <w:spacing w:before="0" w:after="0" w:line="240" w:lineRule="auto" w:beforeLines="0" w:afterLines="0"/>
        <w:jc w:val="both"/>
        <w:ind w:firstLineChars="200"/>
      </w:pPr>
      <w:r>
        <w:rPr>
          <w:rFonts w:ascii="Times New Roman" w:hAnsi="Times New Roman" w:eastAsia="仿宋" w:cs="Times New Roman"/>
          <w:b w:val="0"/>
          <w:sz w:val="28"/>
        </w:rPr>
        <w:t>微牛证券的年营收从上一年的约2.5亿美元增长至约3.9亿美元，增速可观。但经调整净利润同比下滑65%至约1.2亿美元（据路演材料推算，具体数值需以最终公告为准）。导致这一背离的主要原因有三方面。一是用户获取成本高企。为争夺被其他券商覆盖的市场，微牛证券大幅增加了营销和销售费用，据市场估算其获客成本处于行业中上水平。二是产品线拓展带来的研发支出增加。公司增加了加密货币交易、港股衍生品等新业务，需要持续投入技术开发和合规建设。三是运营合规成本上升。作为中概股，微牛证券需同时应对美国证券交易委员会和中国证监会的监管要求，合规人员支出和系统建设投入显著增加。</w:t>
      </w:r>
    </w:p>
    <w:p>
      <w:pPr>
        <w:spacing w:before="0" w:after="0" w:line="240" w:lineRule="auto" w:beforeLines="0" w:afterLines="0"/>
        <w:jc w:val="both"/>
        <w:ind w:firstLineChars="200"/>
      </w:pPr>
      <w:r>
        <w:rPr>
          <w:rFonts w:ascii="Times New Roman" w:hAnsi="Times New Roman" w:eastAsia="Times New Roman" w:cs="Times New Roman"/>
          <w:b w:val="0"/>
          <w:sz w:val="28"/>
        </w:rPr>
        <w:t>“</w:t>
      </w:r>
      <w:r>
        <w:rPr>
          <w:rFonts w:ascii="Times New Roman" w:hAnsi="Times New Roman" w:eastAsia="仿宋" w:cs="Times New Roman"/>
          <w:b w:val="0"/>
          <w:sz w:val="28"/>
        </w:rPr>
        <w:t>经调整净利润</w:t>
      </w:r>
      <w:r>
        <w:rPr>
          <w:rFonts w:ascii="Times New Roman" w:hAnsi="Times New Roman" w:eastAsia="Times New Roman" w:cs="Times New Roman"/>
          <w:b w:val="0"/>
          <w:sz w:val="28"/>
        </w:rPr>
        <w:t>”</w:t>
      </w:r>
      <w:r>
        <w:rPr>
          <w:rFonts w:ascii="Times New Roman" w:hAnsi="Times New Roman" w:eastAsia="仿宋" w:cs="Times New Roman"/>
          <w:b w:val="0"/>
          <w:sz w:val="28"/>
        </w:rPr>
        <w:t>为非美国通用会计准则下的指标，通常剔除股权激励、无形资产摊销等非现金支出。在微牛案例中，调整项目是否涵盖了所有一次性成本值得关注。例如，若股权激励费用过高但被剔除，则调整后利润可能高估了实际盈利能力。对于SPAC投资者而言，关注调整口径的合理性，并对比同行业公司的调整基准，有助于评估财务披露的透明度。</w:t>
      </w:r>
    </w:p>
    <w:p>
      <w:pPr>
        <w:spacing w:before="0" w:after="0" w:line="240" w:lineRule="auto" w:beforeLines="0" w:afterLines="0"/>
        <w:jc w:val="both"/>
        <w:ind w:firstLineChars="200"/>
      </w:pPr>
      <w:r>
        <w:rPr>
          <w:rFonts w:ascii="Times New Roman" w:hAnsi="Times New Roman" w:eastAsia="仿宋" w:cs="Times New Roman"/>
          <w:b w:val="0"/>
          <w:sz w:val="28"/>
        </w:rPr>
        <w:t>从现金创造能力看，金融科技平台一般通过客户资金存款产生现金流。但若经营亏损持续，公司仍需外部融资支撑。微牛证券通过上市获得数亿美元融资（含上市后私募投资），可缓解短期流动性压力，但长期盈利改善才是价值支撑的根本。若用户变现效率无法提升，公司可能陷入</w:t>
      </w:r>
      <w:r>
        <w:rPr>
          <w:rFonts w:ascii="Times New Roman" w:hAnsi="Times New Roman" w:eastAsia="Times New Roman" w:cs="Times New Roman"/>
          <w:b w:val="0"/>
          <w:sz w:val="28"/>
        </w:rPr>
        <w:t>“</w:t>
      </w:r>
      <w:r>
        <w:rPr>
          <w:rFonts w:ascii="Times New Roman" w:hAnsi="Times New Roman" w:eastAsia="仿宋" w:cs="Times New Roman"/>
          <w:b w:val="0"/>
          <w:sz w:val="28"/>
        </w:rPr>
        <w:t>花钱买增长</w:t>
      </w:r>
      <w:r>
        <w:rPr>
          <w:rFonts w:ascii="Times New Roman" w:hAnsi="Times New Roman" w:eastAsia="Times New Roman" w:cs="Times New Roman"/>
          <w:b w:val="0"/>
          <w:sz w:val="28"/>
        </w:rPr>
        <w:t>”</w:t>
      </w:r>
      <w:r>
        <w:rPr>
          <w:rFonts w:ascii="Times New Roman" w:hAnsi="Times New Roman" w:eastAsia="仿宋" w:cs="Times New Roman"/>
          <w:b w:val="0"/>
          <w:sz w:val="28"/>
        </w:rPr>
        <w:t>的循环，导致经营现金流承压。</w:t>
      </w:r>
    </w:p>
    <w:p>
      <w:pPr>
        <w:spacing w:before="0" w:after="0" w:line="240" w:lineRule="auto" w:beforeLines="0" w:afterLines="0"/>
        <w:jc w:val="left"/>
        <w:ind w:firstLineChars="200"/>
      </w:pPr>
      <w:r>
        <w:rPr>
          <w:rFonts w:ascii="Times New Roman" w:hAnsi="Times New Roman" w:eastAsia="仿宋" w:cs="Times New Roman"/>
          <w:b/>
          <w:sz w:val="28"/>
        </w:rPr>
        <w:t>五、市场验证与跨境合规：上市后表现及监管边界</w:t>
      </w:r>
    </w:p>
    <w:p>
      <w:pPr>
        <w:spacing w:before="0" w:after="0" w:line="240" w:lineRule="auto" w:beforeLines="0" w:afterLines="0"/>
        <w:jc w:val="both"/>
        <w:ind w:firstLineChars="200"/>
      </w:pPr>
      <w:r>
        <w:rPr>
          <w:rFonts w:ascii="Times New Roman" w:hAnsi="Times New Roman" w:eastAsia="仿宋" w:cs="Times New Roman"/>
          <w:b w:val="0"/>
          <w:sz w:val="28"/>
        </w:rPr>
        <w:t>据媒体报道，微牛证券在纳斯达克上市首日市值突破167亿美元，超越富途证券（市值约100亿美元）和老虎证券（市值约50亿美元）。这一短期市场表现反映了投资者对微牛增长故事的高度认可。然而，股价首日涨幅是否可持续，取决于后续季报能否兑现营收增长和盈利改善的预期。</w:t>
      </w:r>
    </w:p>
    <w:p>
      <w:pPr>
        <w:spacing w:before="0" w:after="0" w:line="240" w:lineRule="auto" w:beforeLines="0" w:afterLines="0"/>
        <w:jc w:val="both"/>
        <w:ind w:firstLineChars="200"/>
      </w:pPr>
      <w:r>
        <w:rPr>
          <w:rFonts w:ascii="Times New Roman" w:hAnsi="Times New Roman" w:eastAsia="仿宋" w:cs="Times New Roman"/>
          <w:b w:val="0"/>
          <w:sz w:val="28"/>
        </w:rPr>
        <w:t>与竞品相比，微牛证券的市场定位更偏向年轻、零佣金用户群，其单位用户收入低于富途证券（后者主要面向中高端港股投资者），但用户增速更快。这决定了微牛证券的估值逻辑应侧重于用户规模变现潜力和客户生命周期价值，而非当前利润倍数。若微牛证券能通过交叉销售（如理财、保险）提升每用户平均收入，其高估值便具备基本面支撑；反之，若用户增长放缓而成本居高不下，估值溢价可能逐步消退。</w:t>
      </w:r>
    </w:p>
    <w:p>
      <w:pPr>
        <w:spacing w:before="0" w:after="0" w:line="240" w:lineRule="auto" w:beforeLines="0" w:afterLines="0"/>
        <w:jc w:val="both"/>
        <w:ind w:firstLineChars="200"/>
      </w:pPr>
      <w:r>
        <w:rPr>
          <w:rFonts w:ascii="Times New Roman" w:hAnsi="Times New Roman" w:eastAsia="仿宋" w:cs="Times New Roman"/>
          <w:b w:val="0"/>
          <w:sz w:val="28"/>
        </w:rPr>
        <w:t>从监管视角，微牛证券作为中概股，其赴美上市需遵循中国证监会于2023年实施的《境内企业境外发行证券和上市管理试行办法》。据媒体报道，2025年4月，公司已获得证监会境外上市备案通知书，拟发行不超过6422万股普通股。这一备案程序的完成，表明微牛证券在法律合规层面扫清了关键障碍。SPAC结构涉及的反向收购能否通过证监会备案，在实务中需要明确公司是否属于间接境外上市范畴，以及VIE架构的披露要求。据报道，微牛证券通过开曼群岛注册的红筹架构直接持有国内资产，而非采用VIE，备案流程相对顺畅。</w:t>
      </w:r>
    </w:p>
    <w:p>
      <w:pPr>
        <w:spacing w:before="0" w:after="0" w:line="240" w:lineRule="auto" w:beforeLines="0" w:afterLines="0"/>
        <w:jc w:val="both"/>
        <w:ind w:firstLineChars="200"/>
      </w:pPr>
      <w:r>
        <w:rPr>
          <w:rFonts w:ascii="Times New Roman" w:hAnsi="Times New Roman" w:eastAsia="仿宋" w:cs="Times New Roman"/>
          <w:b w:val="0"/>
          <w:sz w:val="28"/>
        </w:rPr>
        <w:t>在美国方面，美国证券交易委员会近年加强了对SPAC的监管，包括要求更详细的财务预测披露，以及对SPAC发起人薪酬的约束。微牛证券交易中，若存在业绩预测或盈利目标，其披露的合规性和准确性将受到严格审视。此外，美国证券交易委员会的新规要求SPAC合并后上市的公司须满足与IPO相同的财务标准，这降低了SPAC作为快速上市工具的部分优势，但微牛证券仍选择了此路径。</w:t>
      </w:r>
    </w:p>
    <w:p>
      <w:pPr>
        <w:spacing w:before="0" w:after="0" w:line="240" w:lineRule="auto" w:beforeLines="0" w:afterLines="0"/>
        <w:jc w:val="left"/>
        <w:ind w:firstLineChars="200"/>
      </w:pPr>
      <w:r>
        <w:rPr>
          <w:rFonts w:ascii="Times New Roman" w:hAnsi="Times New Roman" w:eastAsia="仿宋" w:cs="Times New Roman"/>
          <w:b/>
          <w:sz w:val="28"/>
        </w:rPr>
        <w:t>六、结语：盈利波动期企业SPAC上市的可参考框架</w:t>
      </w:r>
    </w:p>
    <w:p>
      <w:pPr>
        <w:spacing w:before="0" w:after="0" w:line="240" w:lineRule="auto" w:beforeLines="0" w:afterLines="0"/>
        <w:jc w:val="both"/>
        <w:ind w:firstLineChars="200"/>
      </w:pPr>
      <w:r>
        <w:rPr>
          <w:rFonts w:ascii="Times New Roman" w:hAnsi="Times New Roman" w:eastAsia="仿宋" w:cs="Times New Roman"/>
          <w:b w:val="0"/>
          <w:sz w:val="28"/>
        </w:rPr>
        <w:t>微牛证券的案例表明，SPAC为盈利承压但拥有用户增长潜力的金融科技公司提供了一条可行的上市路径。其成功的关键在于：通过结构化的对赌条款降低了买方风险，以高估值故事吸引上市后私募投资投资者，并利用SPAC的时间灵活性抓住窗口期。然而，此类交易也揭示了三个需审慎评估的要点。第一，估值差异反映出信息不对称，投资者应区分企业价值、股权价值和市值，并关注定价基准是否合理。第二，经调整净利润需要拆解到核心业务运营层面，判断利润下滑是周期性还是结构性，以及调整项目是否掩盖了真实经营趋势。第三，SPAC交易中的利益绑定机制（如锁定期、对赌）在短期内约束了管理层，但长期价值创造仍依赖于将用户规模转化为可持续的盈利能力。</w:t>
      </w:r>
    </w:p>
    <w:p>
      <w:pPr>
        <w:spacing w:before="0" w:after="0" w:line="240" w:lineRule="auto" w:beforeLines="0" w:afterLines="0"/>
        <w:jc w:val="both"/>
        <w:ind w:firstLineChars="200"/>
      </w:pPr>
      <w:r>
        <w:rPr>
          <w:rFonts w:ascii="Times New Roman" w:hAnsi="Times New Roman" w:eastAsia="仿宋" w:cs="Times New Roman"/>
          <w:b w:val="0"/>
          <w:sz w:val="28"/>
        </w:rPr>
        <w:t>从并购方法论角度，盈利波动期企业采用SPAC上市前，应重点验证三个假设：用户增长到盈利的转化路径是否清晰；调整后利润口径能否经得起财务周期的考验；以及上市后私募投资者的信心基础是否牢固。微牛证券的股东背景（高瓴、小米）和赛道前景提供了背书，但并非所有公司都能复现这一条件。交易前，企业应基于保守假设进行财务模拟，并在交易条款中设置合理的分阶段对赌机制，使各方利益长期绑定。</w:t>
      </w:r>
    </w:p>
    <w:p>
      <w:pPr>
        <w:spacing w:before="0" w:after="0" w:line="240" w:lineRule="auto" w:beforeLines="0" w:afterLines="0"/>
        <w:jc w:val="both"/>
        <w:ind w:firstLineChars="200"/>
      </w:pPr>
      <w:r>
        <w:rPr>
          <w:rFonts w:ascii="Times New Roman" w:hAnsi="Times New Roman" w:eastAsia="仿宋" w:cs="Times New Roman"/>
          <w:b w:val="0"/>
          <w:sz w:val="28"/>
        </w:rPr>
        <w:t>最终，微牛证券上市后的股价和财务表现，将为中概金融科技公司的SPAC实践提供持续参考。无论结果如何，这一案例已展示了SPAC结构在处理盈利与增长矛盾时的弹性边界。</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