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吴为荣收购南卫股份5.8815：要约与控制权安排</w:t>
      </w:r>
    </w:p>
    <w:p>
      <w:pPr>
        <w:spacing w:before="0" w:after="0" w:line="240" w:lineRule="auto" w:beforeLines="0" w:afterLines="0"/>
        <w:jc w:val="both"/>
        <w:ind w:firstLineChars="200"/>
      </w:pPr>
      <w:r>
        <w:rPr>
          <w:rFonts w:ascii="Times New Roman" w:hAnsi="Times New Roman" w:eastAsia="仿宋" w:cs="Times New Roman"/>
          <w:b w:val="0"/>
          <w:sz w:val="28"/>
        </w:rPr>
        <w:t>本案例涉及吴为荣（下称</w:t>
      </w:r>
      <w:r>
        <w:rPr>
          <w:rFonts w:ascii="Times New Roman" w:hAnsi="Times New Roman" w:eastAsia="Times New Roman" w:cs="Times New Roman"/>
          <w:b w:val="0"/>
          <w:sz w:val="28"/>
        </w:rPr>
        <w:t>“</w:t>
      </w:r>
      <w:r>
        <w:rPr>
          <w:rFonts w:ascii="Times New Roman" w:hAnsi="Times New Roman" w:eastAsia="仿宋" w:cs="Times New Roman"/>
          <w:b w:val="0"/>
          <w:sz w:val="28"/>
        </w:rPr>
        <w:t>吴为荣</w:t>
      </w:r>
      <w:r>
        <w:rPr>
          <w:rFonts w:ascii="Times New Roman" w:hAnsi="Times New Roman" w:eastAsia="Times New Roman" w:cs="Times New Roman"/>
          <w:b w:val="0"/>
          <w:sz w:val="28"/>
        </w:rPr>
        <w:t>”</w:t>
      </w:r>
      <w:r>
        <w:rPr>
          <w:rFonts w:ascii="Times New Roman" w:hAnsi="Times New Roman" w:eastAsia="仿宋" w:cs="Times New Roman"/>
          <w:b w:val="0"/>
          <w:sz w:val="28"/>
        </w:rPr>
        <w:t>）收购南卫股份5.8815%股份（下称</w:t>
      </w:r>
      <w:r>
        <w:rPr>
          <w:rFonts w:ascii="Times New Roman" w:hAnsi="Times New Roman" w:eastAsia="Times New Roman" w:cs="Times New Roman"/>
          <w:b w:val="0"/>
          <w:sz w:val="28"/>
        </w:rPr>
        <w:t>“</w:t>
      </w:r>
      <w:r>
        <w:rPr>
          <w:rFonts w:ascii="Times New Roman" w:hAnsi="Times New Roman" w:eastAsia="仿宋" w:cs="Times New Roman"/>
          <w:b w:val="0"/>
          <w:sz w:val="28"/>
        </w:rPr>
        <w:t>南卫股份5.8815%股份</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南卫股份关于公司控股股东协议转让股份过户完成的公告》，目标线索为公。</w:t>
      </w:r>
    </w:p>
    <w:p>
      <w:pPr>
        <w:spacing w:before="0" w:after="0" w:line="240" w:lineRule="auto" w:beforeLines="0" w:afterLines="0"/>
        <w:jc w:val="left"/>
        <w:ind w:firstLineChars="200"/>
      </w:pPr>
      <w:r>
        <w:rPr>
          <w:rFonts w:ascii="Times New Roman" w:hAnsi="Times New Roman" w:eastAsia="仿宋" w:cs="Times New Roman"/>
          <w:b/>
          <w:sz w:val="28"/>
        </w:rPr>
        <w:t>一、交易前状态与发起路径：控股股东存量股份被组织为两笔并联协议</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吴为荣受让部分：17,000,000股，占公司当前总股本的5.8815%，转让单价6.34元/股，转让总价款人民币107,780,000元；同一公告披露受让方二上海赤钥投资有限公司（代表</w:t>
      </w:r>
      <w:r>
        <w:rPr>
          <w:rFonts w:ascii="Times New Roman" w:hAnsi="Times New Roman" w:eastAsia="Times New Roman" w:cs="Times New Roman"/>
          <w:b w:val="0"/>
          <w:sz w:val="28"/>
        </w:rPr>
        <w:t>“</w:t>
      </w:r>
      <w:r>
        <w:rPr>
          <w:rFonts w:ascii="Times New Roman" w:hAnsi="Times New Roman" w:eastAsia="仿宋" w:cs="Times New Roman"/>
          <w:b w:val="0"/>
          <w:sz w:val="28"/>
        </w:rPr>
        <w:t>赤钥4号私募证券投资基金</w:t>
      </w:r>
      <w:r>
        <w:rPr>
          <w:rFonts w:ascii="Times New Roman" w:hAnsi="Times New Roman" w:eastAsia="Times New Roman" w:cs="Times New Roman"/>
          <w:b w:val="0"/>
          <w:sz w:val="28"/>
        </w:rPr>
        <w:t>”</w:t>
      </w:r>
      <w:r>
        <w:rPr>
          <w:rFonts w:ascii="Times New Roman" w:hAnsi="Times New Roman" w:eastAsia="仿宋" w:cs="Times New Roman"/>
          <w:b w:val="0"/>
          <w:sz w:val="28"/>
        </w:rPr>
        <w:t>）受让15,000,000股，占公司当前总股本的5.1896%，转让总价款人民币95,100；交易前的股权状态只能还原到有限信息。公告持股变化表显示，李平在本次过户前持有118,841,048股，其过户前持股比例在公开抽取文本中被截断为</w:t>
      </w:r>
      <w:r>
        <w:rPr>
          <w:rFonts w:ascii="Times New Roman" w:hAnsi="Times New Roman" w:eastAsia="Times New Roman" w:cs="Times New Roman"/>
          <w:b w:val="0"/>
          <w:sz w:val="28"/>
        </w:rPr>
        <w:t>“</w:t>
      </w:r>
      <w:r>
        <w:rPr>
          <w:rFonts w:ascii="Times New Roman" w:hAnsi="Times New Roman" w:eastAsia="仿宋" w:cs="Times New Roman"/>
          <w:b w:val="0"/>
          <w:sz w:val="28"/>
        </w:rPr>
        <w:t>41.</w:t>
      </w:r>
      <w:r>
        <w:rPr>
          <w:rFonts w:ascii="Times New Roman" w:hAnsi="Times New Roman" w:eastAsia="Times New Roman" w:cs="Times New Roman"/>
          <w:b w:val="0"/>
          <w:sz w:val="28"/>
        </w:rPr>
        <w:t>”</w:t>
      </w:r>
      <w:r>
        <w:rPr>
          <w:rFonts w:ascii="Times New Roman" w:hAnsi="Times New Roman" w:eastAsia="仿宋" w:cs="Times New Roman"/>
          <w:b w:val="0"/>
          <w:sz w:val="28"/>
        </w:rPr>
        <w:t>，完整数值未获披露，不能据以推算确切水平；公告亦未披露吴为荣与受让方二在本次转让前是否已持有公司股份，以及李平过户后的持股数量与比例。可以确认的是，李平在交易前后均为公司控股股东及实际控制人，本次转让属于存量。</w:t>
      </w:r>
    </w:p>
    <w:p>
      <w:pPr>
        <w:spacing w:before="0" w:after="0" w:line="240" w:lineRule="auto" w:beforeLines="0" w:afterLines="0"/>
        <w:jc w:val="both"/>
        <w:ind w:firstLineChars="200"/>
      </w:pPr>
      <w:r>
        <w:rPr>
          <w:rFonts w:ascii="Times New Roman" w:hAnsi="Times New Roman" w:eastAsia="仿宋" w:cs="Times New Roman"/>
          <w:b w:val="0"/>
          <w:sz w:val="28"/>
        </w:rPr>
        <w:t>触发与发起节点相对清晰。公司此前已披露《南卫股份关于控股股东协议转让公司部分股份暨权益变动的提示性公告》（公告编号2026-023），该公告的披露日期与全文均未纳入可用资料；可确认的发起行为发生在2026年6月29日，同日李平作为转让方，分别与受让方一吴为荣、受让方二上海赤钥投资有限公司（代表</w:t>
      </w:r>
      <w:r>
        <w:rPr>
          <w:rFonts w:ascii="Times New Roman" w:hAnsi="Times New Roman" w:eastAsia="Times New Roman" w:cs="Times New Roman"/>
          <w:b w:val="0"/>
          <w:sz w:val="28"/>
        </w:rPr>
        <w:t>“</w:t>
      </w:r>
      <w:r>
        <w:rPr>
          <w:rFonts w:ascii="Times New Roman" w:hAnsi="Times New Roman" w:eastAsia="仿宋" w:cs="Times New Roman"/>
          <w:b w:val="0"/>
          <w:sz w:val="28"/>
        </w:rPr>
        <w:t>赤钥4号私募证券投资基金</w:t>
      </w:r>
      <w:r>
        <w:rPr>
          <w:rFonts w:ascii="Times New Roman" w:hAnsi="Times New Roman" w:eastAsia="Times New Roman" w:cs="Times New Roman"/>
          <w:b w:val="0"/>
          <w:sz w:val="28"/>
        </w:rPr>
        <w:t>”</w:t>
      </w:r>
      <w:r>
        <w:rPr>
          <w:rFonts w:ascii="Times New Roman" w:hAnsi="Times New Roman" w:eastAsia="仿宋" w:cs="Times New Roman"/>
          <w:b w:val="0"/>
          <w:sz w:val="28"/>
        </w:rPr>
        <w:t>）签订《股份转让协议》。推动方为控股股；交易目标的表述必须区分已披露与未披露。公开资料未单独披露吴为荣受让南卫股份股份的主观动机或战略目的，也未单独披露李平出售股份的主观原因，不宜推定为引入战略投资者、财务投资、纾困或质押处置，更不宜据此推断后续控制权安排。可确认的客观目标有三项：转让方以统一单价6.34元/股出让合计32,000,000股，对应价款202,880,000元，实现存量股份的部分变现。</w:t>
      </w:r>
    </w:p>
    <w:p>
      <w:pPr>
        <w:spacing w:before="0" w:after="0" w:line="240" w:lineRule="auto" w:beforeLines="0" w:afterLines="0"/>
        <w:jc w:val="left"/>
        <w:ind w:firstLineChars="200"/>
      </w:pPr>
      <w:r>
        <w:rPr>
          <w:rFonts w:ascii="Times New Roman" w:hAnsi="Times New Roman" w:eastAsia="仿宋" w:cs="Times New Roman"/>
          <w:b/>
          <w:sz w:val="28"/>
        </w:rPr>
        <w:t>二、11.0711%为何切成两笔：并联受让与统一定价的结构含义</w:t>
      </w:r>
    </w:p>
    <w:p>
      <w:pPr>
        <w:spacing w:before="0" w:after="0" w:line="240" w:lineRule="auto" w:beforeLines="0" w:afterLines="0"/>
        <w:jc w:val="both"/>
        <w:ind w:firstLineChars="200"/>
      </w:pPr>
      <w:r>
        <w:rPr>
          <w:rFonts w:ascii="Times New Roman" w:hAnsi="Times New Roman" w:eastAsia="仿宋" w:cs="Times New Roman"/>
          <w:b w:val="0"/>
          <w:sz w:val="28"/>
        </w:rPr>
        <w:t>交易要素在结构层面呈现明确特征：本可由单一受让方一笔承接的11.0711%，被拆成5.8815%与5.1896%两笔。李平向吴为荣转让17,000,000股无限售条件流通股，占公司当前总股本的5.8815%，转让总价款107,780,000元；向受让方二转让15,000,000股，占5.1896%，总价款95,100,000元。两笔合计32,000,000股。</w:t>
      </w:r>
    </w:p>
    <w:p>
      <w:pPr>
        <w:spacing w:before="0" w:after="0" w:line="240" w:lineRule="auto" w:beforeLines="0" w:afterLines="0"/>
        <w:jc w:val="both"/>
        <w:ind w:firstLineChars="200"/>
      </w:pPr>
      <w:r>
        <w:rPr>
          <w:rFonts w:ascii="Times New Roman" w:hAnsi="Times New Roman" w:eastAsia="仿宋" w:cs="Times New Roman"/>
          <w:b w:val="0"/>
          <w:sz w:val="28"/>
        </w:rPr>
        <w:t>拆分产生三项可观察后果。其一，两笔受让比例均高于5%，单笔即在权益变动披露与股份锁定上达到需要独立计算的量级，避免出现一笔低于5%而适用更宽松披露口径的情形；其二，18个月内不减持的承诺由各受让方就其受让部分分别作出，锁定责任不因另一方行为而合并或抵消；其三，从股东名册与后续披露口径看，吴为荣与赤钥4号私募证券投资基金将成为两名独立股东，而非一位持股11.0。</w:t>
      </w:r>
    </w:p>
    <w:p>
      <w:pPr>
        <w:spacing w:before="0" w:after="0" w:line="240" w:lineRule="auto" w:beforeLines="0" w:afterLines="0"/>
        <w:jc w:val="both"/>
        <w:ind w:firstLineChars="200"/>
      </w:pPr>
      <w:r>
        <w:rPr>
          <w:rFonts w:ascii="Times New Roman" w:hAnsi="Times New Roman" w:eastAsia="仿宋" w:cs="Times New Roman"/>
          <w:b w:val="0"/>
          <w:sz w:val="28"/>
        </w:rPr>
        <w:t>统一定价同样值得记录。两笔转让单价同为6.34元/股，未被区别对待，表明两项协议很可能在同一协商框架内形成。但公告未披露该单价的定价依据，未说明其相对签约前市场价格的溢价或折价关系，因此既不能判断6.34元/股是否为市场化协商结果，也无法计算对应的估值倍数。在缺少协议全文的情况下，两份协议是否互为条件、一方违约时另一笔是否随之调整，均属未披露事项，只能把两笔交易视为在时间与价格上高度协同、在法律与披露上彼此独立的并联安排。</w:t>
      </w:r>
    </w:p>
    <w:p>
      <w:pPr>
        <w:spacing w:before="0" w:after="0" w:line="240" w:lineRule="auto" w:beforeLines="0" w:afterLines="0"/>
        <w:jc w:val="left"/>
        <w:ind w:firstLineChars="200"/>
      </w:pPr>
      <w:r>
        <w:rPr>
          <w:rFonts w:ascii="Times New Roman" w:hAnsi="Times New Roman" w:eastAsia="仿宋" w:cs="Times New Roman"/>
          <w:b/>
          <w:sz w:val="28"/>
        </w:rPr>
        <w:t>三、从签约到确权：合规确认、过户登记与尾款支付的时序安排</w:t>
      </w:r>
    </w:p>
    <w:p>
      <w:pPr>
        <w:spacing w:before="0" w:after="0" w:line="240" w:lineRule="auto" w:beforeLines="0" w:afterLines="0"/>
        <w:jc w:val="both"/>
        <w:ind w:firstLineChars="200"/>
      </w:pPr>
      <w:r>
        <w:rPr>
          <w:rFonts w:ascii="Times New Roman" w:hAnsi="Times New Roman" w:eastAsia="仿宋" w:cs="Times New Roman"/>
          <w:b w:val="0"/>
          <w:sz w:val="28"/>
        </w:rPr>
        <w:t>程序链是本案信息密度最高的部分。2026年6月29日签署两份《股份转让协议》后，本次协议转让通过上海证券交易所合规性确认（确认函日期未披露），2026年9月4日为过户登记日，过户数量32,000,000股，占公司总股本的11.0711%，股份性质为无限售流通股；2026年9月7日取得中国证券登记结算有限责任公司出具的《证券过户登记确认书》；2026年9月8日。</w:t>
      </w:r>
    </w:p>
    <w:p>
      <w:pPr>
        <w:spacing w:before="0" w:after="0" w:line="240" w:lineRule="auto" w:beforeLines="0" w:afterLines="0"/>
        <w:jc w:val="both"/>
        <w:ind w:firstLineChars="200"/>
      </w:pPr>
      <w:r>
        <w:rPr>
          <w:rFonts w:ascii="Times New Roman" w:hAnsi="Times New Roman" w:eastAsia="仿宋" w:cs="Times New Roman"/>
          <w:b w:val="0"/>
          <w:sz w:val="28"/>
        </w:rPr>
        <w:t>公告同时列举合规依据：本次协议转让符合《中华人民共和国证券法》《上海证券交易所股票上市规则》《上市公司股东减持股份管理暂行办法》《上海证券交易所上市公司自律监管指引第15号—股东及董事、高级管理人员减持股份》等规定，不存在违反相关承诺的情形。该列举对应的是可核验的合规链条——减持规则与自律监管指引构成实体约束，交易所合规性确认构成程序约束，中登过户登记构成确权约束，三者叠加使本次转让能够在不变更控制权的前提下完成。</w:t>
      </w:r>
    </w:p>
    <w:p>
      <w:pPr>
        <w:spacing w:before="0" w:after="0" w:line="240" w:lineRule="auto" w:beforeLines="0" w:afterLines="0"/>
        <w:jc w:val="both"/>
        <w:ind w:firstLineChars="200"/>
      </w:pPr>
      <w:r>
        <w:rPr>
          <w:rFonts w:ascii="Times New Roman" w:hAnsi="Times New Roman" w:eastAsia="仿宋" w:cs="Times New Roman"/>
          <w:b w:val="0"/>
          <w:sz w:val="28"/>
        </w:rPr>
        <w:t>资金与时序是另一项已披露的硬约束。根据协议约定，受让方将在股份过户到其名下后15个工作日内向转让方支付剩余转让价款，即采取先过户、后付尾款的承接时序；受让方另承诺自本次协议转让完成过户登记之日起18个月内不减持通过本次协议转让受让的公司股份。就这组安排而言，公开资料未披露首付款比例、剩余价款的具体金额构成、违约责任与担保安排，不能将其解读为或有对价、业绩承诺。</w:t>
      </w:r>
    </w:p>
    <w:p>
      <w:pPr>
        <w:spacing w:before="0" w:after="0" w:line="240" w:lineRule="auto" w:beforeLines="0" w:afterLines="0"/>
        <w:jc w:val="left"/>
        <w:ind w:firstLineChars="200"/>
      </w:pPr>
      <w:r>
        <w:rPr>
          <w:rFonts w:ascii="Times New Roman" w:hAnsi="Times New Roman" w:eastAsia="仿宋" w:cs="Times New Roman"/>
          <w:b/>
          <w:sz w:val="28"/>
        </w:rPr>
        <w:t>四、三项否定性定性如何框定交易：不变更控制权、不要约、不构成关联交易</w:t>
      </w:r>
    </w:p>
    <w:p>
      <w:pPr>
        <w:spacing w:before="0" w:after="0" w:line="240" w:lineRule="auto" w:beforeLines="0" w:afterLines="0"/>
        <w:jc w:val="both"/>
        <w:ind w:firstLineChars="200"/>
      </w:pPr>
      <w:r>
        <w:rPr>
          <w:rFonts w:ascii="Times New Roman" w:hAnsi="Times New Roman" w:eastAsia="仿宋" w:cs="Times New Roman"/>
          <w:b w:val="0"/>
          <w:sz w:val="28"/>
        </w:rPr>
        <w:t>公告以一组否定性定性界定交易性质：本次协议转让不涉及公司控制权变更，不会导致公司控股股东及实际控制人发生变化，不涉及要约收购，不构成关联交易，亦不会对公司治理结构及未来持续经营产生重大影响，也不存在损害公司及其他股东利益的情形。这组表述在实务上至少产生三层后果。第一层是义务层面，不触发以控制权为对象的全面要约义务，交易不进入要约收购程序。第二层是审议层面，不。</w:t>
      </w:r>
    </w:p>
    <w:p>
      <w:pPr>
        <w:spacing w:before="0" w:after="0" w:line="240" w:lineRule="auto" w:beforeLines="0" w:afterLines="0"/>
        <w:jc w:val="both"/>
        <w:ind w:firstLineChars="200"/>
      </w:pPr>
      <w:r>
        <w:rPr>
          <w:rFonts w:ascii="Times New Roman" w:hAnsi="Times New Roman" w:eastAsia="仿宋" w:cs="Times New Roman"/>
          <w:b w:val="0"/>
          <w:sz w:val="28"/>
        </w:rPr>
        <w:t>治理边界的判断需要保持克制。李平仍为公司控股股东及实际控制人，本次转让不改变公司治理结构的定性；但在持股比例下降而控制权不变的情形下，股东结构变化对股东大会表决结构与董事会构成的边际影响，取决于李平转让后的持股数量与比例。公告未披露该数值，吴为荣与受让方二转让后的持股比例同样未在可用资料中呈现，因此无法量化。可以判断的是，两名新股东分别持有5%以上股份，在需。</w:t>
      </w:r>
    </w:p>
    <w:p>
      <w:pPr>
        <w:spacing w:before="0" w:after="0" w:line="240" w:lineRule="auto" w:beforeLines="0" w:afterLines="0"/>
        <w:jc w:val="both"/>
        <w:ind w:firstLineChars="200"/>
      </w:pPr>
      <w:r>
        <w:rPr>
          <w:rFonts w:ascii="Times New Roman" w:hAnsi="Times New Roman" w:eastAsia="仿宋" w:cs="Times New Roman"/>
          <w:b w:val="0"/>
          <w:sz w:val="28"/>
        </w:rPr>
        <w:t>受让主体性质的差异也在此层面留下痕迹。受让方一吴为荣为自然人，其受让的17,000,000股以个人名义登记，权利义务直接归属本人；受让方二的名义主体为上海赤钥投资有限公司，公告明确其身份是代表</w:t>
      </w:r>
      <w:r>
        <w:rPr>
          <w:rFonts w:ascii="Times New Roman" w:hAnsi="Times New Roman" w:eastAsia="Times New Roman" w:cs="Times New Roman"/>
          <w:b w:val="0"/>
          <w:sz w:val="28"/>
        </w:rPr>
        <w:t>“</w:t>
      </w:r>
      <w:r>
        <w:rPr>
          <w:rFonts w:ascii="Times New Roman" w:hAnsi="Times New Roman" w:eastAsia="仿宋" w:cs="Times New Roman"/>
          <w:b w:val="0"/>
          <w:sz w:val="28"/>
        </w:rPr>
        <w:t>赤钥4号私募证券投资基金</w:t>
      </w:r>
      <w:r>
        <w:rPr>
          <w:rFonts w:ascii="Times New Roman" w:hAnsi="Times New Roman" w:eastAsia="Times New Roman" w:cs="Times New Roman"/>
          <w:b w:val="0"/>
          <w:sz w:val="28"/>
        </w:rPr>
        <w:t>”</w:t>
      </w:r>
      <w:r>
        <w:rPr>
          <w:rFonts w:ascii="Times New Roman" w:hAnsi="Times New Roman" w:eastAsia="仿宋" w:cs="Times New Roman"/>
          <w:b w:val="0"/>
          <w:sz w:val="28"/>
        </w:rPr>
        <w:t>，上市公司股东名册上的登记主体为私募基金管理人，实际权益归属于该基金产品的份额持有人。公告未披露该产品的存续期、规模与投资范围，也未披露其与。</w:t>
      </w:r>
    </w:p>
    <w:p>
      <w:pPr>
        <w:spacing w:before="0" w:after="0" w:line="240" w:lineRule="auto" w:beforeLines="0" w:afterLines="0"/>
        <w:jc w:val="left"/>
        <w:ind w:firstLineChars="200"/>
      </w:pPr>
      <w:r>
        <w:rPr>
          <w:rFonts w:ascii="Times New Roman" w:hAnsi="Times New Roman" w:eastAsia="仿宋" w:cs="Times New Roman"/>
          <w:b/>
          <w:sz w:val="28"/>
        </w:rPr>
        <w:t>五、产业位置与论证上限：经营数据缺位下本案能判断到什么</w:t>
      </w:r>
    </w:p>
    <w:p>
      <w:pPr>
        <w:spacing w:before="0" w:after="0" w:line="240" w:lineRule="auto" w:beforeLines="0" w:afterLines="0"/>
        <w:jc w:val="both"/>
        <w:ind w:firstLineChars="200"/>
      </w:pPr>
      <w:r>
        <w:rPr>
          <w:rFonts w:ascii="Times New Roman" w:hAnsi="Times New Roman" w:eastAsia="仿宋" w:cs="Times New Roman"/>
          <w:b w:val="0"/>
          <w:sz w:val="28"/>
        </w:rPr>
        <w:t>产业层面的判断受到资料条件的硬约束。南卫股份为上海证券交易所上市公司，公司名称为江苏南方卫材医药股份有限公司，公告未披露其营业收入、净利润、EBITDA、负债、现金流等经营与财务数据，也未披露产能、客户结构、产品线或员工规模。这意味着6.34元/股的转让单价无法换算为市盈率或市净率，交易对价无法与公司经营基本面建立联系，也无法就所处细分领域的竞争格局作出有依。</w:t>
      </w:r>
    </w:p>
    <w:p>
      <w:pPr>
        <w:spacing w:before="0" w:after="0" w:line="240" w:lineRule="auto" w:beforeLines="0" w:afterLines="0"/>
        <w:jc w:val="both"/>
        <w:ind w:firstLineChars="200"/>
      </w:pPr>
      <w:r>
        <w:rPr>
          <w:rFonts w:ascii="Times New Roman" w:hAnsi="Times New Roman" w:eastAsia="仿宋" w:cs="Times New Roman"/>
          <w:b w:val="0"/>
          <w:sz w:val="28"/>
        </w:rPr>
        <w:t>同样需要标注的是资料缺口本身。编号2026-023的提示性公告构成本次交易的前序披露文件，其全文未纳入可用资料；李平过户后的持股数量与比例、两名受让方过户前的持股情况、协议中的首付款比例、违约责任与是否互为条件，均未见披露；抽取文本中李平过户前持股比例被截断为</w:t>
      </w:r>
      <w:r>
        <w:rPr>
          <w:rFonts w:ascii="Times New Roman" w:hAnsi="Times New Roman" w:eastAsia="Times New Roman" w:cs="Times New Roman"/>
          <w:b w:val="0"/>
          <w:sz w:val="28"/>
        </w:rPr>
        <w:t>“</w:t>
      </w:r>
      <w:r>
        <w:rPr>
          <w:rFonts w:ascii="Times New Roman" w:hAnsi="Times New Roman" w:eastAsia="仿宋" w:cs="Times New Roman"/>
          <w:b w:val="0"/>
          <w:sz w:val="28"/>
        </w:rPr>
        <w:t>41.</w:t>
      </w:r>
      <w:r>
        <w:rPr>
          <w:rFonts w:ascii="Times New Roman" w:hAnsi="Times New Roman" w:eastAsia="Times New Roman" w:cs="Times New Roman"/>
          <w:b w:val="0"/>
          <w:sz w:val="28"/>
        </w:rPr>
        <w:t>”</w:t>
      </w:r>
      <w:r>
        <w:rPr>
          <w:rFonts w:ascii="Times New Roman" w:hAnsi="Times New Roman" w:eastAsia="仿宋" w:cs="Times New Roman"/>
          <w:b w:val="0"/>
          <w:sz w:val="28"/>
        </w:rPr>
        <w:t>，属于需要回原始公告核验的字段。公开检索中出现的蒙古国人口、麦当劳门店等条目与本案例无关，不构成任何背景或论据。对这些缺口，稳妥的处理方式是不以常识补全。</w:t>
      </w:r>
    </w:p>
    <w:p>
      <w:pPr>
        <w:spacing w:before="0" w:after="0" w:line="240" w:lineRule="auto" w:beforeLines="0" w:afterLines="0"/>
        <w:jc w:val="both"/>
        <w:ind w:firstLineChars="200"/>
      </w:pPr>
      <w:r>
        <w:rPr>
          <w:rFonts w:ascii="Times New Roman" w:hAnsi="Times New Roman" w:eastAsia="仿宋" w:cs="Times New Roman"/>
          <w:b w:val="0"/>
          <w:sz w:val="28"/>
        </w:rPr>
        <w:t>由此可以提炼本案例在方法论上的可迁移之处。其一，当交易被界定为不变更控制权、不触发要约、不构成关联交易时，公告披露的重心自然落在程序与条款而非动机与产业逻辑，可验证边界随之收窄，倒推动机的做法在本案缺乏资料基础。其二，并联受让把一次总量出让拆为多个独立受让主体，使每笔交易的披露与锁定责任可以分别计算，这一结构在同类存量转让中具有复制性。其三，先过户、后付尾款。</w:t>
      </w:r>
    </w:p>
    <w:p>
      <w:pPr>
        <w:spacing w:before="0" w:after="0" w:line="240" w:lineRule="auto" w:beforeLines="0" w:afterLines="0"/>
        <w:jc w:val="left"/>
        <w:ind w:firstLineChars="200"/>
      </w:pPr>
      <w:r>
        <w:rPr>
          <w:rFonts w:ascii="Times New Roman" w:hAnsi="Times New Roman" w:eastAsia="仿宋" w:cs="Times New Roman"/>
          <w:b/>
          <w:sz w:val="28"/>
        </w:rPr>
        <w:t>六、结语：要约与控制权安排的核验方法</w:t>
      </w:r>
    </w:p>
    <w:p>
      <w:pPr>
        <w:spacing w:before="0" w:after="0" w:line="240" w:lineRule="auto" w:beforeLines="0" w:afterLines="0"/>
        <w:jc w:val="both"/>
        <w:ind w:firstLineChars="200"/>
      </w:pPr>
      <w:r>
        <w:rPr>
          <w:rFonts w:ascii="Times New Roman" w:hAnsi="Times New Roman" w:eastAsia="仿宋" w:cs="Times New Roman"/>
          <w:b w:val="0"/>
          <w:sz w:val="28"/>
        </w:rPr>
        <w:t>回到吴为荣与南卫股份5.8815，本案的方法论意义不在于把交易结果写成通用并购总结，而在于把吴为荣受让部分：17,000,000股，占公司当前总股本的5.8815%，转让单价6.34元/股，转让总价款人民币107,780,000元；同一公告披露受让方二上海赤钥投资有限公司（代表</w:t>
      </w:r>
      <w:r>
        <w:rPr>
          <w:rFonts w:ascii="Times New Roman" w:hAnsi="Times New Roman" w:eastAsia="Times New Roman" w:cs="Times New Roman"/>
          <w:b w:val="0"/>
          <w:sz w:val="28"/>
        </w:rPr>
        <w:t>“</w:t>
      </w:r>
      <w:r>
        <w:rPr>
          <w:rFonts w:ascii="Times New Roman" w:hAnsi="Times New Roman" w:eastAsia="仿宋" w:cs="Times New Roman"/>
          <w:b w:val="0"/>
          <w:sz w:val="28"/>
        </w:rPr>
        <w:t>赤钥4号私募证券投资基金</w:t>
      </w:r>
      <w:r>
        <w:rPr>
          <w:rFonts w:ascii="Times New Roman" w:hAnsi="Times New Roman" w:eastAsia="Times New Roman" w:cs="Times New Roman"/>
          <w:b w:val="0"/>
          <w:sz w:val="28"/>
        </w:rPr>
        <w:t>”</w:t>
      </w:r>
      <w:r>
        <w:rPr>
          <w:rFonts w:ascii="Times New Roman" w:hAnsi="Times New Roman" w:eastAsia="仿宋" w:cs="Times New Roman"/>
          <w:b w:val="0"/>
          <w:sz w:val="28"/>
        </w:rPr>
        <w:t>）受让15,000,000股，占公司当前总股本的5.1896%，转让总价款人民币95,100,000元；两笔合计过户32,000,000股，占公司总股本的11.0711%，股份性质为无限售流通股；交易方式为协议转让/股权、股份受让、17,000,000股；5.8815%；107,780,000元；6.34元/股、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吴为荣而言，关键是交割承接和整合节奏能否与已披露安排匹配；对南卫股份5.8815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