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实际控制人张2镇潮先收购税友股份5.04%股：要约与控制权安排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本案例涉及实际控制人张2镇潮先生（下称</w:t>
      </w:r>
      <w:r>
        <w:rPr>
          <w:rFonts w:ascii="Times New Roman" w:hAnsi="Times New Roman" w:eastAsia="Times New Roman" w:cs="Times New Roman"/>
          <w:b w:val="0"/>
          <w:sz w:val="28"/>
        </w:rPr>
        <w:t>“</w:t>
      </w:r>
      <w:r>
        <w:rPr>
          <w:rFonts w:ascii="Times New Roman" w:hAnsi="Times New Roman" w:eastAsia="仿宋" w:cs="Times New Roman"/>
          <w:b w:val="0"/>
          <w:sz w:val="28"/>
        </w:rPr>
        <w:t>实际控制人张2镇潮先生</w:t>
      </w:r>
      <w:r>
        <w:rPr>
          <w:rFonts w:ascii="Times New Roman" w:hAnsi="Times New Roman" w:eastAsia="Times New Roman" w:cs="Times New Roman"/>
          <w:b w:val="0"/>
          <w:sz w:val="28"/>
        </w:rPr>
        <w:t>”</w:t>
      </w:r>
      <w:r>
        <w:rPr>
          <w:rFonts w:ascii="Times New Roman" w:hAnsi="Times New Roman" w:eastAsia="仿宋" w:cs="Times New Roman"/>
          <w:b w:val="0"/>
          <w:sz w:val="28"/>
        </w:rPr>
        <w:t>）收购税友股份5.04%股份（下称</w:t>
      </w:r>
      <w:r>
        <w:rPr>
          <w:rFonts w:ascii="Times New Roman" w:hAnsi="Times New Roman" w:eastAsia="Times New Roman" w:cs="Times New Roman"/>
          <w:b w:val="0"/>
          <w:sz w:val="28"/>
        </w:rPr>
        <w:t>“</w:t>
      </w:r>
      <w:r>
        <w:rPr>
          <w:rFonts w:ascii="Times New Roman" w:hAnsi="Times New Roman" w:eastAsia="仿宋" w:cs="Times New Roman"/>
          <w:b w:val="0"/>
          <w:sz w:val="28"/>
        </w:rPr>
        <w:t>税友股份5.04%股份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股东协议转让股份过户完成的公告》，目标线索为公开资料未单独披露受让方的主观受让原因。</w:t>
      </w:r>
    </w:p>
    <w:p>
      <w:pPr>
        <w:spacing w:before="0" w:after="0" w:line="240" w:lineRule="auto" w:beforeLines="0" w:afterLines="0"/>
        <w:jc w:val="left"/>
        <w:ind w:firstLineChars="200"/>
      </w:pPr>
      <w:r>
        <w:rPr>
          <w:rFonts w:ascii="Times New Roman" w:hAnsi="Times New Roman" w:eastAsia="仿宋" w:cs="Times New Roman"/>
          <w:b/>
          <w:sz w:val="28"/>
        </w:rPr>
        <w:t>一、5.04%的股东权益由合伙企业平台转为实际控制人直接持有，落点在持股链条而非控制格局</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直接披露合计对价总额；公告披露的交易条款为：转让股份20,500,000股无限售流通股，占公司目前总股本5.04%，转让价格35.59元/股，方式为协议转让（股权/股份受让）；公告明确本次为一致行动人之间的内部转让，不涉及向市场减持，不触及要约收购；时间线包括2026年7月6日：税友软件集团股份。</w:t>
      </w:r>
    </w:p>
    <w:p>
      <w:pPr>
        <w:spacing w:before="0" w:after="0" w:line="240" w:lineRule="auto" w:beforeLines="0" w:afterLines="0"/>
        <w:jc w:val="both"/>
        <w:ind w:firstLineChars="200"/>
      </w:pPr>
      <w:r>
        <w:rPr>
          <w:rFonts w:ascii="Times New Roman" w:hAnsi="Times New Roman" w:eastAsia="仿宋" w:cs="Times New Roman"/>
          <w:b w:val="0"/>
          <w:sz w:val="28"/>
        </w:rPr>
        <w:t>依公告可确认的目标是单一的：完成同一实际控制关系下5.04%上市公司股份由合伙企业持股平台向实际控制人自然人直接持有的登记转移，且转让前后实际控制人及其一致行动人合计持有的公司权益未发生变化，不会导致控股股东、实际控制人发生变化。按并购交易的常见分类，这既不属于取得控制权，也不属于产业协同、资产注入、退出变现或资本结构优化——它发生在股东名册层面，指向的是持。</w:t>
      </w:r>
    </w:p>
    <w:p>
      <w:pPr>
        <w:spacing w:before="0" w:after="0" w:line="240" w:lineRule="auto" w:beforeLines="0" w:afterLines="0"/>
        <w:jc w:val="both"/>
        <w:ind w:firstLineChars="200"/>
      </w:pPr>
      <w:r>
        <w:rPr>
          <w:rFonts w:ascii="Times New Roman" w:hAnsi="Times New Roman" w:eastAsia="仿宋" w:cs="Times New Roman"/>
          <w:b w:val="0"/>
          <w:sz w:val="28"/>
        </w:rPr>
        <w:t>需要把目标与手段分开陈述。手段是可核验的：交易以协议转让方式完成，载体是2026年7月6日签署的《股份转让协议》，随后的推进环节为发布《关于实际控制人及其一致行动人之间内部协议转让股份的提示性公告》（公告编号：2026-020）、通过上海证券交易所合规确认、取得中国证券登记结算有限责任公司出具的《证券过户登记确认书》、2026年9月1日完成过户、2026年9。</w:t>
      </w:r>
    </w:p>
    <w:p>
      <w:pPr>
        <w:spacing w:before="0" w:after="0" w:line="240" w:lineRule="auto" w:beforeLines="0" w:afterLines="0"/>
        <w:jc w:val="left"/>
        <w:ind w:firstLineChars="200"/>
      </w:pPr>
      <w:r>
        <w:rPr>
          <w:rFonts w:ascii="Times New Roman" w:hAnsi="Times New Roman" w:eastAsia="仿宋" w:cs="Times New Roman"/>
          <w:b/>
          <w:sz w:val="28"/>
        </w:rPr>
        <w:t>二、宁波思驰过户前持有206,996,439股，实际控制人权益此前主要通过该合伙企业间接体现</w:t>
      </w:r>
    </w:p>
    <w:p>
      <w:pPr>
        <w:spacing w:before="0" w:after="0" w:line="240" w:lineRule="auto" w:beforeLines="0" w:afterLines="0"/>
        <w:jc w:val="both"/>
        <w:ind w:firstLineChars="200"/>
      </w:pPr>
      <w:r>
        <w:rPr>
          <w:rFonts w:ascii="Times New Roman" w:hAnsi="Times New Roman" w:eastAsia="仿宋" w:cs="Times New Roman"/>
          <w:b w:val="0"/>
          <w:sz w:val="28"/>
        </w:rPr>
        <w:t>交易前，税友股份的控股股东为宁波思驰，公司实际控制人为张镇潮，且张镇潮同时是宁波思驰的实际控制人，宁波思驰与张镇潮构成一致行动人。公告披露宁波思驰过户前持有206,996,439股。需注明的是，公告抽取文本中该笔持股对应的比例字段显示为</w:t>
      </w:r>
      <w:r>
        <w:rPr>
          <w:rFonts w:ascii="Times New Roman" w:hAnsi="Times New Roman" w:eastAsia="Times New Roman" w:cs="Times New Roman"/>
          <w:b w:val="0"/>
          <w:sz w:val="28"/>
        </w:rPr>
        <w:t>“</w:t>
      </w:r>
      <w:r>
        <w:rPr>
          <w:rFonts w:ascii="Times New Roman" w:hAnsi="Times New Roman" w:eastAsia="仿宋" w:cs="Times New Roman"/>
          <w:b w:val="0"/>
          <w:sz w:val="28"/>
        </w:rPr>
        <w:t>50.</w:t>
      </w:r>
      <w:r>
        <w:rPr>
          <w:rFonts w:ascii="Times New Roman" w:hAnsi="Times New Roman" w:eastAsia="Times New Roman" w:cs="Times New Roman"/>
          <w:b w:val="0"/>
          <w:sz w:val="28"/>
        </w:rPr>
        <w:t>”</w:t>
      </w:r>
      <w:r>
        <w:rPr>
          <w:rFonts w:ascii="Times New Roman" w:hAnsi="Times New Roman" w:eastAsia="仿宋" w:cs="Times New Roman"/>
          <w:b w:val="0"/>
          <w:sz w:val="28"/>
        </w:rPr>
        <w:t>并被截断，具体比例须以原始公告核验，不能据此推定为50%，也不能据此推定其区间。沿持股链条看，实际控制人对上市公司。</w:t>
      </w:r>
    </w:p>
    <w:p>
      <w:pPr>
        <w:spacing w:before="0" w:after="0" w:line="240" w:lineRule="auto" w:beforeLines="0" w:afterLines="0"/>
        <w:jc w:val="both"/>
        <w:ind w:firstLineChars="200"/>
      </w:pPr>
      <w:r>
        <w:rPr>
          <w:rFonts w:ascii="Times New Roman" w:hAnsi="Times New Roman" w:eastAsia="仿宋" w:cs="Times New Roman"/>
          <w:b w:val="0"/>
          <w:sz w:val="28"/>
        </w:rPr>
        <w:t>本次转让完成后，宁波思驰持股由206,996,439股降至186,496,439股，减少的20,500,000股对应公司目前总股本的5.04%，登记主体由合伙企业变为实际控制人自然人；控股股东仍为宁波思驰，实际控制人仍为张镇潮，合并口径的控制格局不变。从治理边界看，变化的只有两处：一是控股股东单一主体的持股数量与比例下降，二是实际控制人新增直接持有的股份。这。</w:t>
      </w:r>
    </w:p>
    <w:p>
      <w:pPr>
        <w:spacing w:before="0" w:after="0" w:line="240" w:lineRule="auto" w:beforeLines="0" w:afterLines="0"/>
        <w:jc w:val="left"/>
        <w:ind w:firstLineChars="200"/>
      </w:pPr>
      <w:r>
        <w:rPr>
          <w:rFonts w:ascii="Times New Roman" w:hAnsi="Times New Roman" w:eastAsia="仿宋" w:cs="Times New Roman"/>
          <w:b/>
          <w:sz w:val="28"/>
        </w:rPr>
        <w:t>三、标的是存量股份而非业务资产，本案不具备产业整合的分析空间</w:t>
      </w:r>
    </w:p>
    <w:p>
      <w:pPr>
        <w:spacing w:before="0" w:after="0" w:line="240" w:lineRule="auto" w:beforeLines="0" w:afterLines="0"/>
        <w:jc w:val="both"/>
        <w:ind w:firstLineChars="200"/>
      </w:pPr>
      <w:r>
        <w:rPr>
          <w:rFonts w:ascii="Times New Roman" w:hAnsi="Times New Roman" w:eastAsia="仿宋" w:cs="Times New Roman"/>
          <w:b w:val="0"/>
          <w:sz w:val="28"/>
        </w:rPr>
        <w:t>作为并购案例，本案的产业维度需要反向表述。交易标的是税友股份已发行的20,500,000股无限售流通股份，不涉及资产、业务、子公司或经营控制权的任何变动，因此不存在</w:t>
      </w:r>
      <w:r>
        <w:rPr>
          <w:rFonts w:ascii="Times New Roman" w:hAnsi="Times New Roman" w:eastAsia="Times New Roman" w:cs="Times New Roman"/>
          <w:b w:val="0"/>
          <w:sz w:val="28"/>
        </w:rPr>
        <w:t>“</w:t>
      </w:r>
      <w:r>
        <w:rPr>
          <w:rFonts w:ascii="Times New Roman" w:hAnsi="Times New Roman" w:eastAsia="仿宋" w:cs="Times New Roman"/>
          <w:b w:val="0"/>
          <w:sz w:val="28"/>
        </w:rPr>
        <w:t>买入什么业务、整合什么产能、导入什么客户</w:t>
      </w:r>
      <w:r>
        <w:rPr>
          <w:rFonts w:ascii="Times New Roman" w:hAnsi="Times New Roman" w:eastAsia="Times New Roman" w:cs="Times New Roman"/>
          <w:b w:val="0"/>
          <w:sz w:val="28"/>
        </w:rPr>
        <w:t>”</w:t>
      </w:r>
      <w:r>
        <w:rPr>
          <w:rFonts w:ascii="Times New Roman" w:hAnsi="Times New Roman" w:eastAsia="仿宋" w:cs="Times New Roman"/>
          <w:b w:val="0"/>
          <w:sz w:val="28"/>
        </w:rPr>
        <w:t>的问题，也就不存在产业协同的推导空间。公开资料未披露税友股份的营业收入、净利润、EBITDA、负债、现金流，也未披露客户、产品或订单信息，无法据此判断公。</w:t>
      </w:r>
    </w:p>
    <w:p>
      <w:pPr>
        <w:spacing w:before="0" w:after="0" w:line="240" w:lineRule="auto" w:beforeLines="0" w:afterLines="0"/>
        <w:jc w:val="left"/>
        <w:ind w:firstLineChars="200"/>
      </w:pPr>
      <w:r>
        <w:rPr>
          <w:rFonts w:ascii="Times New Roman" w:hAnsi="Times New Roman" w:eastAsia="仿宋" w:cs="Times New Roman"/>
          <w:b/>
          <w:sz w:val="28"/>
        </w:rPr>
        <w:t>四、20,500,000股与35.59元/股可逐项核验，付款义务跨越过户节点分两段完成</w:t>
      </w:r>
    </w:p>
    <w:p>
      <w:pPr>
        <w:spacing w:before="0" w:after="0" w:line="240" w:lineRule="auto" w:beforeLines="0" w:afterLines="0"/>
        <w:jc w:val="both"/>
        <w:ind w:firstLineChars="200"/>
      </w:pPr>
      <w:r>
        <w:rPr>
          <w:rFonts w:ascii="Times New Roman" w:hAnsi="Times New Roman" w:eastAsia="仿宋" w:cs="Times New Roman"/>
          <w:b w:val="0"/>
          <w:sz w:val="28"/>
        </w:rPr>
        <w:t>可核验的交易条款集中在四个要素：转让数量20,500,000股无限售流通股，占公司目前总股本5.04%；转让价格35.59元/股；交易方式为协议转让（股权、股份受让）；双方关系为同一控制下的一致行动人。公告未直接披露合计对价总额。以披露的单价与股数简单相乘得729,595,000元，该数值属于算术测算，并非公告披露的对价口径；公告亦未披露定价基准日与折溢价率，因此不能据此评价定价是否合理。</w:t>
      </w:r>
    </w:p>
    <w:p>
      <w:pPr>
        <w:spacing w:before="0" w:after="0" w:line="240" w:lineRule="auto" w:beforeLines="0" w:afterLines="0"/>
        <w:jc w:val="both"/>
        <w:ind w:firstLineChars="200"/>
      </w:pPr>
      <w:r>
        <w:rPr>
          <w:rFonts w:ascii="Times New Roman" w:hAnsi="Times New Roman" w:eastAsia="仿宋" w:cs="Times New Roman"/>
          <w:b w:val="0"/>
          <w:sz w:val="28"/>
        </w:rPr>
        <w:t>结构上最具体的一处细节是价款支付安排。受让方已按照《股份转让协议》相关约定完成过户登记前涉及的前期价款支付，剩余股份转让价款需在过户登记后支付。付款义务因此跨越了过户这一关键节点，而非在登记完成后一次性结清。从风险分配看，转让方在交割前已取得部分对价，降低了交割确定性上的敞口，同时保留一部分尾款；受让方则须在取得股份登记之前先行付款，形成一段付款在前、确权在。</w:t>
      </w:r>
    </w:p>
    <w:p>
      <w:pPr>
        <w:spacing w:before="0" w:after="0" w:line="240" w:lineRule="auto" w:beforeLines="0" w:afterLines="0"/>
        <w:jc w:val="both"/>
        <w:ind w:firstLineChars="200"/>
      </w:pPr>
      <w:r>
        <w:rPr>
          <w:rFonts w:ascii="Times New Roman" w:hAnsi="Times New Roman" w:eastAsia="仿宋" w:cs="Times New Roman"/>
          <w:b w:val="0"/>
          <w:sz w:val="28"/>
        </w:rPr>
        <w:t>财务影响层面，本案对上市公司的报表没有直接影响：交易发生在股东之间，对价不进入上市公司主体，因此不产生商誉、不改变资产负债结构，也不形成业绩承诺或补偿安排。可纳入分析的财务性数据仅限于交易自身，即20,500,000股、5.04%、35.59元/股与两个付款节点。把上市公司层面的财务影响与股东层面的资金安排分开陈述，是处理此类交易的基本要求。</w:t>
      </w:r>
    </w:p>
    <w:p>
      <w:pPr>
        <w:spacing w:before="0" w:after="0" w:line="240" w:lineRule="auto" w:beforeLines="0" w:afterLines="0"/>
        <w:jc w:val="left"/>
        <w:ind w:firstLineChars="200"/>
      </w:pPr>
      <w:r>
        <w:rPr>
          <w:rFonts w:ascii="Times New Roman" w:hAnsi="Times New Roman" w:eastAsia="仿宋" w:cs="Times New Roman"/>
          <w:b/>
          <w:sz w:val="28"/>
        </w:rPr>
        <w:t>五、援引减持规则与不触及要约收购的认定，均建立在合并权益不变的事实之上</w:t>
      </w:r>
    </w:p>
    <w:p>
      <w:pPr>
        <w:spacing w:before="0" w:after="0" w:line="240" w:lineRule="auto" w:beforeLines="0" w:afterLines="0"/>
        <w:jc w:val="both"/>
        <w:ind w:firstLineChars="200"/>
      </w:pPr>
      <w:r>
        <w:rPr>
          <w:rFonts w:ascii="Times New Roman" w:hAnsi="Times New Roman" w:eastAsia="仿宋" w:cs="Times New Roman"/>
          <w:b w:val="0"/>
          <w:sz w:val="28"/>
        </w:rPr>
        <w:t>公告明确，本次协议转让符合《中华人民共和国证券法》《上海证券交易所股票上市规则》《上市公司股东减持股份管理暂行办法》《上海证券交易所上市公司自律监管指引第15号—股东及董事、高级管理人员减持股份》等法律法规、部门规章及规范性文件的规定，不存在违反相关承诺的情形。这是</w:t>
      </w:r>
      <w:r>
        <w:rPr>
          <w:rFonts w:ascii="Times New Roman" w:hAnsi="Times New Roman" w:eastAsia="Times New Roman" w:cs="Times New Roman"/>
          <w:b w:val="0"/>
          <w:sz w:val="28"/>
        </w:rPr>
        <w:t>“</w:t>
      </w:r>
      <w:r>
        <w:rPr>
          <w:rFonts w:ascii="Times New Roman" w:hAnsi="Times New Roman" w:eastAsia="仿宋" w:cs="Times New Roman"/>
          <w:b w:val="0"/>
          <w:sz w:val="28"/>
        </w:rPr>
        <w:t>不涉及向市场减持</w:t>
      </w:r>
      <w:r>
        <w:rPr>
          <w:rFonts w:ascii="Times New Roman" w:hAnsi="Times New Roman" w:eastAsia="Times New Roman" w:cs="Times New Roman"/>
          <w:b w:val="0"/>
          <w:sz w:val="28"/>
        </w:rPr>
        <w:t>”</w:t>
      </w:r>
      <w:r>
        <w:rPr>
          <w:rFonts w:ascii="Times New Roman" w:hAnsi="Times New Roman" w:eastAsia="仿宋" w:cs="Times New Roman"/>
          <w:b w:val="0"/>
          <w:sz w:val="28"/>
        </w:rPr>
        <w:t>这一结论最直接的文本依据。其认定逻辑建立在交易对手方的同一性上：受让方张镇。</w:t>
      </w:r>
    </w:p>
    <w:p>
      <w:pPr>
        <w:spacing w:before="0" w:after="0" w:line="240" w:lineRule="auto" w:beforeLines="0" w:afterLines="0"/>
        <w:jc w:val="both"/>
        <w:ind w:firstLineChars="200"/>
      </w:pPr>
      <w:r>
        <w:rPr>
          <w:rFonts w:ascii="Times New Roman" w:hAnsi="Times New Roman" w:eastAsia="仿宋" w:cs="Times New Roman"/>
          <w:b w:val="0"/>
          <w:sz w:val="28"/>
        </w:rPr>
        <w:t>要约收购的认定同样依赖合并口径。由于转让前后实际控制人及其一致行动人合计持有的公司权益未发生变化，控制权未发生转移，公告直接认定本次转让不触及要约收购。需要说明的是，本次交易主体为上市公司股东与实际控制人，而非上市公司本身，公开资料未披露该交易是否经上市公司董事会或股东会审议；《股份转让协议》的定价依据、付款比例与期限、违约责任、交割先决条件等条款亦未在公告中完整披露，不能对协议细节作任何推定。</w:t>
      </w:r>
    </w:p>
    <w:p>
      <w:pPr>
        <w:spacing w:before="0" w:after="0" w:line="240" w:lineRule="auto" w:beforeLines="0" w:afterLines="0"/>
        <w:jc w:val="left"/>
        <w:ind w:firstLineChars="200"/>
      </w:pPr>
      <w:r>
        <w:rPr>
          <w:rFonts w:ascii="Times New Roman" w:hAnsi="Times New Roman" w:eastAsia="仿宋" w:cs="Times New Roman"/>
          <w:b/>
          <w:sz w:val="28"/>
        </w:rPr>
        <w:t>六、控制权口径不变时，真正的变量是登记主体、12个月不减持承诺与付款节点</w:t>
      </w:r>
    </w:p>
    <w:p>
      <w:pPr>
        <w:spacing w:before="0" w:after="0" w:line="240" w:lineRule="auto" w:beforeLines="0" w:afterLines="0"/>
        <w:jc w:val="both"/>
        <w:ind w:firstLineChars="200"/>
      </w:pPr>
      <w:r>
        <w:rPr>
          <w:rFonts w:ascii="Times New Roman" w:hAnsi="Times New Roman" w:eastAsia="仿宋" w:cs="Times New Roman"/>
          <w:b w:val="0"/>
          <w:sz w:val="28"/>
        </w:rPr>
        <w:t>当合并权益与控制权均不变时，能真正改变的只有三处。第一处是登记主体：同一批20,500,000股从合伙企业名下转到自然人名下，权益的间接持有部分转为直接持有。第二处是新增约束：受让方承诺自标的股份过户登记后12个月内不减持其所受让的股份，这段持有期由本次交易新设，在协议签署前并不存在。第三处是付款与登记的先后关系：前期价款在过户前支付、剩余价款在过户后支付。</w:t>
      </w:r>
    </w:p>
    <w:p>
      <w:pPr>
        <w:spacing w:before="0" w:after="0" w:line="240" w:lineRule="auto" w:beforeLines="0" w:afterLines="0"/>
        <w:jc w:val="both"/>
        <w:ind w:firstLineChars="200"/>
      </w:pPr>
      <w:r>
        <w:rPr>
          <w:rFonts w:ascii="Times New Roman" w:hAnsi="Times New Roman" w:eastAsia="仿宋" w:cs="Times New Roman"/>
          <w:b w:val="0"/>
          <w:sz w:val="28"/>
        </w:rPr>
        <w:t>由此可提炼出处理同类交易的分析顺序。第一步做性质认定：是否属于一致行动人内部转让，是否触发减持规则的适用，是否构成要约收购义务，判断依据是合并权益在交易前后是否为零变化。第二步做结构拆解：交易方式、双方关系、数量与单价、合并口径效果，逐项对应披露文本。第三步才落到条款落实：付款节点、承诺期限、登记主体的变化。这一顺序的意义在于，一旦第一步的合并权益判断成立。</w:t>
      </w:r>
    </w:p>
    <w:p>
      <w:pPr>
        <w:spacing w:before="0" w:after="0" w:line="240" w:lineRule="auto" w:beforeLines="0" w:afterLines="0"/>
        <w:jc w:val="left"/>
        <w:ind w:firstLineChars="200"/>
      </w:pPr>
      <w:r>
        <w:rPr>
          <w:rFonts w:ascii="Times New Roman" w:hAnsi="Times New Roman" w:eastAsia="仿宋" w:cs="Times New Roman"/>
          <w:b/>
          <w:sz w:val="28"/>
        </w:rPr>
        <w:t>七、结语：要约与控制权安排的核验方法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事实：2026年7月6日，张镇潮与宁波思驰签署《股份转让协议》，以35.59元/股受让20,500,000股无限售流通股，占税友股份总股本5.04%；2026年9月1日完成过户，宁波思驰持股由206,996,439股降至186,496,439股；控股股东仍为宁波思驰，实际控制人仍为张镇潮，实际控制人及其一致行动人合计权益未发生变化；受让方承诺过户登记后12个月内不减持其所受让的股份；价款分过户前与过户后两段支付。合计对价、定价基准日、折溢价率、交易动机与协议全文条款均未披露，这些缺口不应被行业逻辑或资本运作叙事所填充。</w:t>
      </w:r>
    </w:p>
    <w:p>
      <w:pPr>
        <w:spacing w:before="0" w:after="0" w:line="240" w:lineRule="auto" w:beforeLines="0" w:afterLines="0"/>
        <w:jc w:val="both"/>
        <w:ind w:firstLineChars="200"/>
      </w:pPr>
      <w:r>
        <w:rPr>
          <w:rFonts w:ascii="Times New Roman" w:hAnsi="Times New Roman" w:eastAsia="仿宋" w:cs="Times New Roman"/>
          <w:b w:val="0"/>
          <w:sz w:val="28"/>
        </w:rPr>
        <w:t>本案对同类交易的方法论意义有两层。其一，控制权与合并权益不变时，判断一笔股份转让的实质，应以登记主体、新增承诺与付款节点为观察对象，而非持股总量的变化；本案中真正新增的约束是12个月不减持承诺，真正改变的是5.04%股份的登记主体。其二，披露颗粒度的两端分化本身就是结论的一部分：股数、单价、过户日、承诺期高度确定，定价依据与审议程序完全空白，把两者分开陈述，既是分析纪律，也是复盘中区分可验证事实与待验证情形的基本方法。对税友股份而言，股东名册上增加了一位直接持股5.04%的自然人股东，其余事项仍回到公告未披露的状态。</w:t>
      </w:r>
    </w:p>
    <w:p>
      <w:pPr>
        <w:spacing w:before="0" w:after="0" w:line="240" w:lineRule="auto" w:beforeLines="0" w:afterLines="0"/>
        <w:jc w:val="both"/>
        <w:ind w:firstLineChars="200"/>
      </w:pPr>
      <w:r>
        <w:rPr>
          <w:rFonts w:ascii="Times New Roman" w:hAnsi="Times New Roman" w:eastAsia="仿宋" w:cs="Times New Roman"/>
          <w:b w:val="0"/>
          <w:sz w:val="28"/>
        </w:rPr>
        <w:t>回到实际控制人张2镇潮先与税友股份5.04%股，本案的方法论意义不在于把交易结果写成通用并购总结，而在于把公开资料未直接披露合计对价总额；公告披露的交易条款为：转让股份20,500,000股无限售流通股，占公司目前总股本5.04%，转让价格35.59元/股，方式为协议转让（股权/股份受让）；公告明确本次为一致行动人之间的内部转让，不涉及向市场减持，不触及要约收购、证券代码：603171；证券简称：税友股份；公告编号：2026-025；提示性公告编号：2026-020、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实际控制人张2镇潮先而言，关键是交割承接和整合节奏能否与已披露安排匹配；对税友股份5.04%股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