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彭海荣收购赛微微电5.0917：要约与控制权安排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本案例涉及彭海荣（下称</w:t>
      </w:r>
      <w:r>
        <w:rPr>
          <w:rFonts w:ascii="Times New Roman" w:hAnsi="Times New Roman" w:eastAsia="Times New Roman" w:cs="Times New Roman"/>
          <w:b w:val="0"/>
          <w:sz w:val="28"/>
        </w:rPr>
        <w:t>“</w:t>
      </w:r>
      <w:r>
        <w:rPr>
          <w:rFonts w:ascii="Times New Roman" w:hAnsi="Times New Roman" w:eastAsia="仿宋" w:cs="Times New Roman"/>
          <w:b w:val="0"/>
          <w:sz w:val="28"/>
        </w:rPr>
        <w:t>彭海荣</w:t>
      </w:r>
      <w:r>
        <w:rPr>
          <w:rFonts w:ascii="Times New Roman" w:hAnsi="Times New Roman" w:eastAsia="Times New Roman" w:cs="Times New Roman"/>
          <w:b w:val="0"/>
          <w:sz w:val="28"/>
        </w:rPr>
        <w:t>”</w:t>
      </w:r>
      <w:r>
        <w:rPr>
          <w:rFonts w:ascii="Times New Roman" w:hAnsi="Times New Roman" w:eastAsia="仿宋" w:cs="Times New Roman"/>
          <w:b w:val="0"/>
          <w:sz w:val="28"/>
        </w:rPr>
        <w:t>）收购赛微微电5.0917%股份（下称</w:t>
      </w:r>
      <w:r>
        <w:rPr>
          <w:rFonts w:ascii="Times New Roman" w:hAnsi="Times New Roman" w:eastAsia="Times New Roman" w:cs="Times New Roman"/>
          <w:b w:val="0"/>
          <w:sz w:val="28"/>
        </w:rPr>
        <w:t>“</w:t>
      </w:r>
      <w:r>
        <w:rPr>
          <w:rFonts w:ascii="Times New Roman" w:hAnsi="Times New Roman" w:eastAsia="仿宋" w:cs="Times New Roman"/>
          <w:b w:val="0"/>
          <w:sz w:val="28"/>
        </w:rPr>
        <w:t>赛微微电5.0917%股份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公司股东协议转让股份过户完成的公告》，目标线索为公开资料披露的受让方动机为：基于对公司未来持续发展的信心和长期投资价值的认可，受让方彭海荣承诺自标的股份完成过户登记之日起12个月内不减持其通过本次交易取得的股份。客观安排依据：受让方彭海荣系公司持股5%以上股东上海朋邦实业有限公司控股股东、实际控制人，本次协议转让完成后彭海荣与朋邦实业构成一致行动人，减持额度将合并计算，并共同遵守大股东减持股份相关的法律法。一笔协议转让是否值得复盘，取决于它改变了什么、又没有改变什么。2026年7月14日，广东赛微微电子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赛微微电</w:t>
      </w:r>
      <w:r>
        <w:rPr>
          <w:rFonts w:ascii="Times New Roman" w:hAnsi="Times New Roman" w:eastAsia="Times New Roman" w:cs="Times New Roman"/>
          <w:b w:val="0"/>
          <w:sz w:val="28"/>
        </w:rPr>
        <w:t>”</w:t>
      </w:r>
      <w:r>
        <w:rPr>
          <w:rFonts w:ascii="Times New Roman" w:hAnsi="Times New Roman" w:eastAsia="仿宋" w:cs="Times New Roman"/>
          <w:b w:val="0"/>
          <w:sz w:val="28"/>
        </w:rPr>
        <w:t>，SH：688325）控股股东东莞市伟途投资管理合伙企业（有限合伙）（下称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伟途投资</w:t>
      </w:r>
      <w:r>
        <w:rPr>
          <w:rFonts w:ascii="Times New Roman" w:hAnsi="Times New Roman" w:eastAsia="Times New Roman" w:cs="Times New Roman"/>
          <w:b w:val="0"/>
          <w:sz w:val="28"/>
        </w:rPr>
        <w:t>”</w:t>
      </w:r>
      <w:r>
        <w:rPr>
          <w:rFonts w:ascii="Times New Roman" w:hAnsi="Times New Roman" w:eastAsia="仿宋" w:cs="Times New Roman"/>
          <w:b w:val="0"/>
          <w:sz w:val="28"/>
        </w:rPr>
        <w:t>）与自然人彭海荣（下称</w:t>
      </w:r>
      <w:r>
        <w:rPr>
          <w:rFonts w:ascii="Times New Roman" w:hAnsi="Times New Roman" w:eastAsia="Times New Roman" w:cs="Times New Roman"/>
          <w:b w:val="0"/>
          <w:sz w:val="28"/>
        </w:rPr>
        <w:t>“</w:t>
      </w:r>
      <w:r>
        <w:rPr>
          <w:rFonts w:ascii="Times New Roman" w:hAnsi="Times New Roman" w:eastAsia="仿宋" w:cs="Times New Roman"/>
          <w:b w:val="0"/>
          <w:sz w:val="28"/>
        </w:rPr>
        <w:t>彭海荣</w:t>
      </w:r>
      <w:r>
        <w:rPr>
          <w:rFonts w:ascii="Times New Roman" w:hAnsi="Times New Roman" w:eastAsia="Times New Roman" w:cs="Times New Roman"/>
          <w:b w:val="0"/>
          <w:sz w:val="28"/>
        </w:rPr>
        <w:t>”</w:t>
      </w:r>
      <w:r>
        <w:rPr>
          <w:rFonts w:ascii="Times New Roman" w:hAnsi="Times New Roman" w:eastAsia="仿宋" w:cs="Times New Roman"/>
          <w:b w:val="0"/>
          <w:sz w:val="28"/>
        </w:rPr>
        <w:t>）签署《股份转让协议》，以89.88元/股转让其持有的无限售流通股4,402,650股，占公告披露日公司总股本86,466,427股的5.0917%，价款合计人民币395,710,182元。2026年7月16日公司披露提示性公告（编号2026-043），2026年9月9日完成过户并取得中国证券登记结算有限责任公司出具的《证券过户登记确认书》，2026年9月11日披露过户完成公告（编号2026-056）。受让方彭海荣同时是公司持股5%以上股东上海朋邦实业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朋邦实业</w:t>
      </w:r>
      <w:r>
        <w:rPr>
          <w:rFonts w:ascii="Times New Roman" w:hAnsi="Times New Roman" w:eastAsia="Times New Roman" w:cs="Times New Roman"/>
          <w:b w:val="0"/>
          <w:sz w:val="28"/>
        </w:rPr>
        <w:t>”</w:t>
      </w:r>
      <w:r>
        <w:rPr>
          <w:rFonts w:ascii="Times New Roman" w:hAnsi="Times New Roman" w:eastAsia="仿宋" w:cs="Times New Roman"/>
          <w:b w:val="0"/>
          <w:sz w:val="28"/>
        </w:rPr>
        <w:t>）的控股股东、实际控制人，过户完成后与朋邦实业构成一致行动人，减持额度合并计算；公告同时明确，本次协议转让不涉及要约收购，不会导致公司控股股东及实际控制人发生变化。因此，这笔交易的看点不在控制权归属，而在于同一组股份的登记位移与计算口径变化：名义控制权不变，买方一侧在减持规则意义上的合计计算基数扩大，并叠加12个月不减持承诺与部分来自股权质押融资的自筹资金。对同类协议转让而言，签约前需要预先确认的正是这三条线——比例落在何处、锁定覆盖多宽、资金期限能否与锁定期衔接。</w:t>
      </w:r>
    </w:p>
    <w:p>
      <w:pPr>
        <w:spacing w:before="0" w:after="0" w:line="240" w:lineRule="auto" w:beforeLines="0" w:afterLines="0"/>
        <w:jc w:val="left"/>
        <w:ind w:firstLineChars="200"/>
      </w:pPr>
      <w:r>
        <w:rPr>
          <w:rFonts w:ascii="Times New Roman" w:hAnsi="Times New Roman" w:eastAsia="仿宋" w:cs="Times New Roman"/>
          <w:b/>
          <w:sz w:val="28"/>
        </w:rPr>
        <w:t>一、交易底盘已形成登记闭环，控股股东持股比例的完整数值未被完整披露</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4,402,650股；占公司总股本5.0917%；转让价格89.88元/股；转让价款合计人民币395,710,182元；支付方式为协议转让（买方以现金支付对价，公告未披露分期安排）；时间线包括2026年7月14日：转让方伟途投资与彭海荣签署《股份转让协议》；2026年7月16日：公司披露《广东赛微微电子股。</w:t>
      </w:r>
    </w:p>
    <w:p>
      <w:pPr>
        <w:spacing w:before="0" w:after="0" w:line="240" w:lineRule="auto" w:beforeLines="0" w:afterLines="0"/>
        <w:jc w:val="both"/>
        <w:ind w:firstLineChars="200"/>
      </w:pPr>
      <w:r>
        <w:rPr>
          <w:rFonts w:ascii="Times New Roman" w:hAnsi="Times New Roman" w:eastAsia="仿宋" w:cs="Times New Roman"/>
          <w:b w:val="0"/>
          <w:sz w:val="28"/>
        </w:rPr>
        <w:t>截至公开资料可确认的范围，交易前的股权状态可以逐项落位。赛微微电公告披露日总股本为86,466,427股；伟途投资作为控股股东，过户前直接持有17,610,600股；公司2026年7月16日披露的提示性公告载有控股股东、实际控制人及其一致行动人的合计持股比例，但该数值在可获取的公告文本中未完整呈现，本案例不引用具体比值，也不据其推断控制权强度。受让方一侧的结构已相对确定：彭海荣是公司持股5%以上股东朋邦实业的控股股东、实际控制人；朋邦实业的具体持股数量公告未披露，彭海荣在本次受让前是否直接持有公司股份亦未披露。</w:t>
      </w:r>
    </w:p>
    <w:p>
      <w:pPr>
        <w:spacing w:before="0" w:after="0" w:line="240" w:lineRule="auto" w:beforeLines="0" w:afterLines="0"/>
        <w:jc w:val="both"/>
        <w:ind w:firstLineChars="200"/>
      </w:pPr>
      <w:r>
        <w:rPr>
          <w:rFonts w:ascii="Times New Roman" w:hAnsi="Times New Roman" w:eastAsia="仿宋" w:cs="Times New Roman"/>
          <w:b w:val="0"/>
          <w:sz w:val="28"/>
        </w:rPr>
        <w:t>时间链条完整且可核验。2026年7月14日双方签署《股份转让协议》，约定以89.88元/股转让无限售流通股4,402,650股，占公告披露日总股本5.0917%，价款合计人民币395,710,182元，受让方以现金支付，公告未披露分期安排；7月16日公司披露提示性公告（编号2026-043）；9月9日完成过户，取得中国证券登记结算有限责任公司出具的《证券过户。</w:t>
      </w:r>
    </w:p>
    <w:p>
      <w:pPr>
        <w:spacing w:before="0" w:after="0" w:line="240" w:lineRule="auto" w:beforeLines="0" w:afterLines="0"/>
        <w:jc w:val="left"/>
        <w:ind w:firstLineChars="200"/>
      </w:pPr>
      <w:r>
        <w:rPr>
          <w:rFonts w:ascii="Times New Roman" w:hAnsi="Times New Roman" w:eastAsia="仿宋" w:cs="Times New Roman"/>
          <w:b/>
          <w:sz w:val="28"/>
        </w:rPr>
        <w:t>二、控制权不变与买方减持口径重构：同一组股份的两套计算口径</w:t>
      </w:r>
    </w:p>
    <w:p>
      <w:pPr>
        <w:spacing w:before="0" w:after="0" w:line="240" w:lineRule="auto" w:beforeLines="0" w:afterLines="0"/>
        <w:jc w:val="both"/>
        <w:ind w:firstLineChars="200"/>
      </w:pPr>
      <w:r>
        <w:rPr>
          <w:rFonts w:ascii="Times New Roman" w:hAnsi="Times New Roman" w:eastAsia="仿宋" w:cs="Times New Roman"/>
          <w:b w:val="0"/>
          <w:sz w:val="28"/>
        </w:rPr>
        <w:t>公告的两项否定表述各自约束不同对象，需要分开读。</w:t>
      </w:r>
      <w:r>
        <w:rPr>
          <w:rFonts w:ascii="Times New Roman" w:hAnsi="Times New Roman" w:eastAsia="Times New Roman" w:cs="Times New Roman"/>
          <w:b w:val="0"/>
          <w:sz w:val="28"/>
        </w:rPr>
        <w:t>“</w:t>
      </w:r>
      <w:r>
        <w:rPr>
          <w:rFonts w:ascii="Times New Roman" w:hAnsi="Times New Roman" w:eastAsia="仿宋" w:cs="Times New Roman"/>
          <w:b w:val="0"/>
          <w:sz w:val="28"/>
        </w:rPr>
        <w:t>不涉及要约收购</w:t>
      </w:r>
      <w:r>
        <w:rPr>
          <w:rFonts w:ascii="Times New Roman" w:hAnsi="Times New Roman" w:eastAsia="Times New Roman" w:cs="Times New Roman"/>
          <w:b w:val="0"/>
          <w:sz w:val="28"/>
        </w:rPr>
        <w:t>”</w:t>
      </w:r>
      <w:r>
        <w:rPr>
          <w:rFonts w:ascii="Times New Roman" w:hAnsi="Times New Roman" w:eastAsia="仿宋" w:cs="Times New Roman"/>
          <w:b w:val="0"/>
          <w:sz w:val="28"/>
        </w:rPr>
        <w:t>针对的是本次协议转让是否触发强制要约义务，其判定与受让方一侧的合计持股比例有关，但公告只给出结论，未披露该判定的具体比例计算过程。</w:t>
      </w:r>
      <w:r>
        <w:rPr>
          <w:rFonts w:ascii="Times New Roman" w:hAnsi="Times New Roman" w:eastAsia="Times New Roman" w:cs="Times New Roman"/>
          <w:b w:val="0"/>
          <w:sz w:val="28"/>
        </w:rPr>
        <w:t>“</w:t>
      </w:r>
      <w:r>
        <w:rPr>
          <w:rFonts w:ascii="Times New Roman" w:hAnsi="Times New Roman" w:eastAsia="仿宋" w:cs="Times New Roman"/>
          <w:b w:val="0"/>
          <w:sz w:val="28"/>
        </w:rPr>
        <w:t>不会导致公司控股股东及实际控制人发生变化</w:t>
      </w:r>
      <w:r>
        <w:rPr>
          <w:rFonts w:ascii="Times New Roman" w:hAnsi="Times New Roman" w:eastAsia="Times New Roman" w:cs="Times New Roman"/>
          <w:b w:val="0"/>
          <w:sz w:val="28"/>
        </w:rPr>
        <w:t>”</w:t>
      </w:r>
      <w:r>
        <w:rPr>
          <w:rFonts w:ascii="Times New Roman" w:hAnsi="Times New Roman" w:eastAsia="仿宋" w:cs="Times New Roman"/>
          <w:b w:val="0"/>
          <w:sz w:val="28"/>
        </w:rPr>
        <w:t>针对的是公司控制权归属，与买方一侧减持口径的变化并不冲突。5.0917%这一比例落在5%权益变动披露线之上，受让方由此成。</w:t>
      </w:r>
    </w:p>
    <w:p>
      <w:pPr>
        <w:spacing w:before="0" w:after="0" w:line="240" w:lineRule="auto" w:beforeLines="0" w:afterLines="0"/>
        <w:jc w:val="both"/>
        <w:ind w:firstLineChars="200"/>
      </w:pPr>
      <w:r>
        <w:rPr>
          <w:rFonts w:ascii="Times New Roman" w:hAnsi="Times New Roman" w:eastAsia="仿宋" w:cs="Times New Roman"/>
          <w:b w:val="0"/>
          <w:sz w:val="28"/>
        </w:rPr>
        <w:t>真正的变化发生在计算口径上。在控制权口径下，同一组股份的归属没有改变，公司控股股东与实际控制人未变；但在买方一侧的减持规则口径下，彭海荣过户完成后与朋邦实业构成一致行动人，减持额度合并计算，买方一侧的可减持额度不再只由朋邦实业单独计算，而是并入本次受让股份后重新确定基数。对受让方而言，这一结构的代价是减持空间的计算基数扩大、约束链条变长；其价值在于以协议方式。</w:t>
      </w:r>
    </w:p>
    <w:p>
      <w:pPr>
        <w:spacing w:before="0" w:after="0" w:line="240" w:lineRule="auto" w:beforeLines="0" w:afterLines="0"/>
        <w:jc w:val="left"/>
        <w:ind w:firstLineChars="200"/>
      </w:pPr>
      <w:r>
        <w:rPr>
          <w:rFonts w:ascii="Times New Roman" w:hAnsi="Times New Roman" w:eastAsia="仿宋" w:cs="Times New Roman"/>
          <w:b/>
          <w:sz w:val="28"/>
        </w:rPr>
        <w:t>三、12个月锁定、一致行动人合并计算与自筹质押融资，构成受让方的三项约束</w:t>
      </w:r>
    </w:p>
    <w:p>
      <w:pPr>
        <w:spacing w:before="0" w:after="0" w:line="240" w:lineRule="auto" w:beforeLines="0" w:afterLines="0"/>
        <w:jc w:val="both"/>
        <w:ind w:firstLineChars="200"/>
      </w:pPr>
      <w:r>
        <w:rPr>
          <w:rFonts w:ascii="Times New Roman" w:hAnsi="Times New Roman" w:eastAsia="仿宋" w:cs="Times New Roman"/>
          <w:b w:val="0"/>
          <w:sz w:val="28"/>
        </w:rPr>
        <w:t>受让方的买入理由，公告给出的直接表述是</w:t>
      </w:r>
      <w:r>
        <w:rPr>
          <w:rFonts w:ascii="Times New Roman" w:hAnsi="Times New Roman" w:eastAsia="Times New Roman" w:cs="Times New Roman"/>
          <w:b w:val="0"/>
          <w:sz w:val="28"/>
        </w:rPr>
        <w:t>“</w:t>
      </w:r>
      <w:r>
        <w:rPr>
          <w:rFonts w:ascii="Times New Roman" w:hAnsi="Times New Roman" w:eastAsia="仿宋" w:cs="Times New Roman"/>
          <w:b w:val="0"/>
          <w:sz w:val="28"/>
        </w:rPr>
        <w:t>基于对公司未来持续发展的信心和长期投资价值的认可</w:t>
      </w:r>
      <w:r>
        <w:rPr>
          <w:rFonts w:ascii="Times New Roman" w:hAnsi="Times New Roman" w:eastAsia="Times New Roman" w:cs="Times New Roman"/>
          <w:b w:val="0"/>
          <w:sz w:val="28"/>
        </w:rPr>
        <w:t>”</w:t>
      </w:r>
      <w:r>
        <w:rPr>
          <w:rFonts w:ascii="Times New Roman" w:hAnsi="Times New Roman" w:eastAsia="仿宋" w:cs="Times New Roman"/>
          <w:b w:val="0"/>
          <w:sz w:val="28"/>
        </w:rPr>
        <w:t>，并配套承诺自标的股份完成过户登记之日起12个月内不减持其通过本次交易取得的股份。该表述属于宣示性说明，不构成可验证的产业或经营目标；真正可执行的只有三项安排。</w:t>
      </w:r>
    </w:p>
    <w:p>
      <w:pPr>
        <w:spacing w:before="0" w:after="0" w:line="240" w:lineRule="auto" w:beforeLines="0" w:afterLines="0"/>
        <w:jc w:val="both"/>
        <w:ind w:firstLineChars="200"/>
      </w:pPr>
      <w:r>
        <w:rPr>
          <w:rFonts w:ascii="Times New Roman" w:hAnsi="Times New Roman" w:eastAsia="仿宋" w:cs="Times New Roman"/>
          <w:b/>
          <w:sz w:val="28"/>
        </w:rPr>
        <w:t>第一项是锁定范围被明确限定为</w:t>
      </w:r>
      <w:r>
        <w:rPr>
          <w:rFonts w:ascii="Times New Roman" w:hAnsi="Times New Roman" w:eastAsia="Times New Roman" w:cs="Times New Roman"/>
          <w:b/>
          <w:sz w:val="28"/>
        </w:rPr>
        <w:t>“</w:t>
      </w:r>
      <w:r>
        <w:rPr>
          <w:rFonts w:ascii="Times New Roman" w:hAnsi="Times New Roman" w:eastAsia="仿宋" w:cs="Times New Roman"/>
          <w:b/>
          <w:sz w:val="28"/>
        </w:rPr>
        <w:t>通过本次交易取得的股份</w:t>
      </w:r>
      <w:r>
        <w:rPr>
          <w:rFonts w:ascii="Times New Roman" w:hAnsi="Times New Roman" w:eastAsia="Times New Roman" w:cs="Times New Roman"/>
          <w:b/>
          <w:sz w:val="28"/>
        </w:rPr>
        <w:t>”</w:t>
      </w:r>
      <w:r>
        <w:rPr>
          <w:rFonts w:ascii="Times New Roman" w:hAnsi="Times New Roman" w:eastAsia="仿宋" w:cs="Times New Roman"/>
          <w:b/>
          <w:sz w:val="28"/>
        </w:rPr>
        <w:t>，即4,402,650股，不覆盖彭海荣可能通过其他方式持有的股份，也不直接约束朋邦实业名下的存量持股。</w:t>
      </w:r>
      <w:r>
        <w:rPr>
          <w:rFonts w:ascii="Times New Roman" w:hAnsi="Times New Roman" w:eastAsia="仿宋" w:cs="Times New Roman"/>
          <w:b w:val="0"/>
          <w:sz w:val="28"/>
        </w:rPr>
        <w:t>第二项是一致行动关系与合并计算：公告明确彭海荣与朋邦实业构成一致行动人，减持额度合并计算并共同遵守大股东减持的相关规定；这一关系源于彭海荣对朋邦实业的控股与实际控制身份，而非本次交易新设的安排，因此合并计。</w:t>
      </w:r>
    </w:p>
    <w:p>
      <w:pPr>
        <w:spacing w:before="0" w:after="0" w:line="240" w:lineRule="auto" w:beforeLines="0" w:afterLines="0"/>
        <w:jc w:val="both"/>
        <w:ind w:firstLineChars="200"/>
      </w:pPr>
      <w:r>
        <w:rPr>
          <w:rFonts w:ascii="Times New Roman" w:hAnsi="Times New Roman" w:eastAsia="仿宋" w:cs="Times New Roman"/>
          <w:b w:val="0"/>
          <w:sz w:val="28"/>
        </w:rPr>
        <w:t>三项安排之间存在需要持续观察的衔接点。在本次受让股份处于12个月锁定状态的前提下，若质押融资的质押标的落在同一批股份上，则融资期限与锁定期的匹配关系、质权实现时点与减持限制的交互，都会影响受让方一侧的持股稳定性；若质押标的来自其他资产，期限匹配压力相应降低。这些均需以后续披露为准，公告现有信息不足以作出判断。可以确认的只有期限本身：锁定期自过户登记之日起算。</w:t>
      </w:r>
    </w:p>
    <w:p>
      <w:pPr>
        <w:spacing w:before="0" w:after="0" w:line="240" w:lineRule="auto" w:beforeLines="0" w:afterLines="0"/>
        <w:jc w:val="left"/>
        <w:ind w:firstLineChars="200"/>
      </w:pPr>
      <w:r>
        <w:rPr>
          <w:rFonts w:ascii="Times New Roman" w:hAnsi="Times New Roman" w:eastAsia="仿宋" w:cs="Times New Roman"/>
          <w:b/>
          <w:sz w:val="28"/>
        </w:rPr>
        <w:t>四、定价基准、转让方动机与经营数据构成本案的三重披露空白</w:t>
      </w:r>
    </w:p>
    <w:p>
      <w:pPr>
        <w:spacing w:before="0" w:after="0" w:line="240" w:lineRule="auto" w:beforeLines="0" w:afterLines="0"/>
        <w:jc w:val="both"/>
        <w:ind w:firstLineChars="200"/>
      </w:pPr>
      <w:r>
        <w:rPr>
          <w:rFonts w:ascii="Times New Roman" w:hAnsi="Times New Roman" w:eastAsia="仿宋" w:cs="Times New Roman"/>
          <w:b w:val="0"/>
          <w:sz w:val="28"/>
        </w:rPr>
        <w:t>定价方面，89.88元/股对应价款395,710,182元，公告未披露定价基准日的选取依据，也未提供该价格与二级市场价格的对照，因此无法在披露范围内判断折价或溢价水平。转让方一侧的信息同样有限：公开资料未单独披露伟途投资出售的主观原因，未披露其减持比例上限、本次转让与既有减持计划的关系，也未披露转让所得资金的用途。可引用的客观安排仅为协议条款与登记结果本身。</w:t>
      </w:r>
    </w:p>
    <w:p>
      <w:pPr>
        <w:spacing w:before="0" w:after="0" w:line="240" w:lineRule="auto" w:beforeLines="0" w:afterLines="0"/>
        <w:jc w:val="both"/>
        <w:ind w:firstLineChars="200"/>
      </w:pPr>
      <w:r>
        <w:rPr>
          <w:rFonts w:ascii="Times New Roman" w:hAnsi="Times New Roman" w:eastAsia="仿宋" w:cs="Times New Roman"/>
          <w:b w:val="0"/>
          <w:sz w:val="28"/>
        </w:rPr>
        <w:t>受让方身份的核查项也未被披露：朋邦实业的具体持股数量、彭海荣受让前是否直接持有公司股份、朋邦实业或彭海荣与伟途投资之间是否存在股权或关联关系，公告均未说明，因此不能推断本次交易属于关联方之间的定向安排。经营与财务数据的缺失更为彻底：公告未披露赛微微电的营业收入、净利润、EBITDA、负债、现金流、产品结构、客户、产能与员工规模。在</w:t>
      </w:r>
      <w:r>
        <w:rPr>
          <w:rFonts w:ascii="Times New Roman" w:hAnsi="Times New Roman" w:eastAsia="Times New Roman" w:cs="Times New Roman"/>
          <w:b w:val="0"/>
          <w:sz w:val="28"/>
        </w:rPr>
        <w:t>“</w:t>
      </w:r>
      <w:r>
        <w:rPr>
          <w:rFonts w:ascii="Times New Roman" w:hAnsi="Times New Roman" w:eastAsia="仿宋" w:cs="Times New Roman"/>
          <w:b w:val="0"/>
          <w:sz w:val="28"/>
        </w:rPr>
        <w:t>上市公司+PE</w:t>
      </w:r>
      <w:r>
        <w:rPr>
          <w:rFonts w:ascii="Times New Roman" w:hAnsi="Times New Roman" w:eastAsia="Times New Roman" w:cs="Times New Roman"/>
          <w:b w:val="0"/>
          <w:sz w:val="28"/>
        </w:rPr>
        <w:t>”</w:t>
      </w:r>
      <w:r>
        <w:rPr>
          <w:rFonts w:ascii="Times New Roman" w:hAnsi="Times New Roman" w:eastAsia="仿宋" w:cs="Times New Roman"/>
          <w:b w:val="0"/>
          <w:sz w:val="28"/>
        </w:rPr>
        <w:t>的分类下。</w:t>
      </w:r>
    </w:p>
    <w:p>
      <w:pPr>
        <w:spacing w:before="0" w:after="0" w:line="240" w:lineRule="auto" w:beforeLines="0" w:afterLines="0"/>
        <w:jc w:val="left"/>
        <w:ind w:firstLineChars="200"/>
      </w:pPr>
      <w:r>
        <w:rPr>
          <w:rFonts w:ascii="Times New Roman" w:hAnsi="Times New Roman" w:eastAsia="仿宋" w:cs="Times New Roman"/>
          <w:b/>
          <w:sz w:val="28"/>
        </w:rPr>
        <w:t>五、结语：要约与控制权安排的核验方法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本案的具体条款，协议转让在控制权不变场景下的工具边界可以概括为三点核验。其一，比例与口径。5.0917%越过5%权益变动披露线，使受让方以自然人身份进入单独披露口径，并与朋邦实业形成合并计算，买方一侧的减持基数因此改变，而公司控制权归属的表述未变；</w:t>
      </w:r>
      <w:r>
        <w:rPr>
          <w:rFonts w:ascii="Times New Roman" w:hAnsi="Times New Roman" w:eastAsia="Times New Roman" w:cs="Times New Roman"/>
          <w:b w:val="0"/>
          <w:sz w:val="28"/>
        </w:rPr>
        <w:t>“</w:t>
      </w:r>
      <w:r>
        <w:rPr>
          <w:rFonts w:ascii="Times New Roman" w:hAnsi="Times New Roman" w:eastAsia="仿宋" w:cs="Times New Roman"/>
          <w:b w:val="0"/>
          <w:sz w:val="28"/>
        </w:rPr>
        <w:t>不涉及要约收购</w:t>
      </w:r>
      <w:r>
        <w:rPr>
          <w:rFonts w:ascii="Times New Roman" w:hAnsi="Times New Roman" w:eastAsia="Times New Roman" w:cs="Times New Roman"/>
          <w:b w:val="0"/>
          <w:sz w:val="28"/>
        </w:rPr>
        <w:t>”</w:t>
      </w:r>
      <w:r>
        <w:rPr>
          <w:rFonts w:ascii="Times New Roman" w:hAnsi="Times New Roman" w:eastAsia="仿宋" w:cs="Times New Roman"/>
          <w:b w:val="0"/>
          <w:sz w:val="28"/>
        </w:rPr>
        <w:t>的判定过程公告未披露，只能作为结论引用。其二，约束与期限。12个月不减持承诺仅覆盖本次受让的4,402,650股，一致行动人合并计算则覆盖买方一侧更大的范围，两套口径的差异决定后续权益变动披露的触发点；以2026年9月9日过户日为起算点的锁定期，与尚在办理中的股权质押融资手续之间的期限匹配，是受让方一侧最需要跟踪的事项。其三，定价与承接。89.88元/股的定价依据、转让方出售的主观原因及其所得资金用途均未披露，交易的商业合理性无法仅凭公告判断；同类交易在尽调阶段应优先取得定价基准说明、转让方的持股与减持安排说明，以及受让方资金来源与期限的书面确认。对研究而言，本案的价值不在</w:t>
      </w:r>
      <w:r>
        <w:rPr>
          <w:rFonts w:ascii="Times New Roman" w:hAnsi="Times New Roman" w:eastAsia="Times New Roman" w:cs="Times New Roman"/>
          <w:b w:val="0"/>
          <w:sz w:val="28"/>
        </w:rPr>
        <w:t>“</w:t>
      </w:r>
      <w:r>
        <w:rPr>
          <w:rFonts w:ascii="Times New Roman" w:hAnsi="Times New Roman" w:eastAsia="仿宋" w:cs="Times New Roman"/>
          <w:b w:val="0"/>
          <w:sz w:val="28"/>
        </w:rPr>
        <w:t>信心</w:t>
      </w:r>
      <w:r>
        <w:rPr>
          <w:rFonts w:ascii="Times New Roman" w:hAnsi="Times New Roman" w:eastAsia="Times New Roman" w:cs="Times New Roman"/>
          <w:b w:val="0"/>
          <w:sz w:val="28"/>
        </w:rPr>
        <w:t>”</w:t>
      </w:r>
      <w:r>
        <w:rPr>
          <w:rFonts w:ascii="Times New Roman" w:hAnsi="Times New Roman" w:eastAsia="仿宋" w:cs="Times New Roman"/>
          <w:b w:val="0"/>
          <w:sz w:val="28"/>
        </w:rPr>
        <w:t>表述，而在于它展示了同一组股份在控制权口径与减持计算口径下的不同含义，以及协议转让这一方式所伴随的信息披露强度与约束强度。</w:t>
      </w:r>
    </w:p>
    <w:p>
      <w:pPr>
        <w:spacing w:before="0" w:after="0" w:line="240" w:lineRule="auto" w:beforeLines="0" w:afterLines="0"/>
        <w:jc w:val="both"/>
        <w:ind w:firstLineChars="200"/>
      </w:pPr>
      <w:r>
        <w:rPr>
          <w:rFonts w:ascii="Times New Roman" w:hAnsi="Times New Roman" w:eastAsia="仿宋" w:cs="Times New Roman"/>
          <w:b w:val="0"/>
          <w:sz w:val="28"/>
        </w:rPr>
        <w:t>回到彭海荣与赛微微电5.0917，本案的方法论意义不在于把交易结果写成通用并购总结，而在于把4,402,650股；占公司总股本5.0917%；转让价格89.88元/股；转让价款合计人民币395,710,182元；支付方式为协议转让（买方以现金支付对价，公告未披露分期安排）、4,402,650股（转让股份数量）；5.0917%（转让股份占公司总股本比例）；89.88元/股（协议转让价格）；395,710,182元（转让价款合计）、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彭海荣而言，关键是交割承接和整合节奏能否与已披露安排匹配；对赛微微电5.0917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