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广州瑞立科密汽车电子收购武汉瑞立科德斯汽车电：股权比例与治理安排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本案例涉及广州瑞立科密汽车电子股份有限公司（下称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广州瑞立科密汽车电子</w:t>
      </w:r>
      <w:r>
        <w:rPr>
          <w:rFonts w:ascii="Times New Roman" w:hAnsi="Times New Roman" w:eastAsia="Times New Roman" w:cs="Times New Roman"/>
          <w:b w:val="0"/>
          <w:sz w:val="28"/>
        </w:rPr>
        <w:t>”</w:t>
      </w:r>
      <w:r>
        <w:rPr>
          <w:rFonts w:ascii="Times New Roman" w:hAnsi="Times New Roman" w:eastAsia="仿宋" w:cs="Times New Roman"/>
          <w:b w:val="0"/>
          <w:sz w:val="28"/>
        </w:rPr>
        <w:t>）收购武汉瑞立科德斯汽车电子有限责任公司16%股权（下称</w:t>
      </w:r>
      <w:r>
        <w:rPr>
          <w:rFonts w:ascii="Times New Roman" w:hAnsi="Times New Roman" w:eastAsia="Times New Roman" w:cs="Times New Roman"/>
          <w:b w:val="0"/>
          <w:sz w:val="28"/>
        </w:rPr>
        <w:t>“</w:t>
      </w:r>
      <w:r>
        <w:rPr>
          <w:rFonts w:ascii="Times New Roman" w:hAnsi="Times New Roman" w:eastAsia="仿宋" w:cs="Times New Roman"/>
          <w:b w:val="0"/>
          <w:sz w:val="28"/>
        </w:rPr>
        <w:t>武汉瑞立科德斯汽车电子16%股权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关于发行股份购买资产暨关联交易之标的资产过户完成的公告，目标线索为1/3证券代码：001285证券简称：瑞立科密公告编号：2026-057广州瑞立科密汽车电子股份有限公司关于发行股份购买资产暨关联交易之标的资产过户完成的公告本公司及董事会全体成员保证信息披露的内容真实、准确和完整，没有虚假记载、误导性陈述或重大遗漏。；广州瑞立科密汽车电子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瑞立科密</w:t>
      </w:r>
      <w:r>
        <w:rPr>
          <w:rFonts w:ascii="Times New Roman" w:hAnsi="Times New Roman" w:eastAsia="Times New Roman" w:cs="Times New Roman"/>
          <w:b w:val="0"/>
          <w:sz w:val="28"/>
        </w:rPr>
        <w:t>”</w:t>
      </w:r>
      <w:r>
        <w:rPr>
          <w:rFonts w:ascii="Times New Roman" w:hAnsi="Times New Roman" w:eastAsia="仿宋"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上市公司</w:t>
      </w:r>
      <w:r>
        <w:rPr>
          <w:rFonts w:ascii="Times New Roman" w:hAnsi="Times New Roman" w:eastAsia="Times New Roman" w:cs="Times New Roman"/>
          <w:b w:val="0"/>
          <w:sz w:val="28"/>
        </w:rPr>
        <w:t>”</w:t>
      </w:r>
      <w:r>
        <w:rPr>
          <w:rFonts w:ascii="Times New Roman" w:hAnsi="Times New Roman" w:eastAsia="仿宋" w:cs="Times New Roman"/>
          <w:b w:val="0"/>
          <w:sz w:val="28"/>
        </w:rPr>
        <w:t xml:space="preserve"> 或</w:t>
      </w:r>
      <w:r>
        <w:rPr>
          <w:rFonts w:ascii="Times New Roman" w:hAnsi="Times New Roman" w:eastAsia="Times New Roman" w:cs="Times New Roman"/>
          <w:b w:val="0"/>
          <w:sz w:val="28"/>
        </w:rPr>
        <w:t>“</w:t>
      </w:r>
      <w:r>
        <w:rPr>
          <w:rFonts w:ascii="Times New Roman" w:hAnsi="Times New Roman" w:eastAsia="仿宋" w:cs="Times New Roman"/>
          <w:b w:val="0"/>
          <w:sz w:val="28"/>
        </w:rPr>
        <w:t>公司</w:t>
      </w:r>
      <w:r>
        <w:rPr>
          <w:rFonts w:ascii="Times New Roman" w:hAnsi="Times New Roman" w:eastAsia="Times New Roman" w:cs="Times New Roman"/>
          <w:b w:val="0"/>
          <w:sz w:val="28"/>
        </w:rPr>
        <w:t>”</w:t>
      </w:r>
      <w:r>
        <w:rPr>
          <w:rFonts w:ascii="Times New Roman" w:hAnsi="Times New Roman" w:eastAsia="仿宋" w:cs="Times New Roman"/>
          <w:b w:val="0"/>
          <w:sz w:val="28"/>
        </w:rPr>
        <w:t>）拟发行股份购买程毅先生持。在汽车电子产业向系统化集成演进的背景下，上市平台对体系内同类资产的持续整合，支付工具的选择往往比交易规模更能决定整合效率与控制权稳固度。2026年7月24日，广州瑞立科密汽车电子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瑞立科密</w:t>
      </w:r>
      <w:r>
        <w:rPr>
          <w:rFonts w:ascii="Times New Roman" w:hAnsi="Times New Roman" w:eastAsia="Times New Roman" w:cs="Times New Roman"/>
          <w:b w:val="0"/>
          <w:sz w:val="28"/>
        </w:rPr>
        <w:t>”</w:t>
      </w:r>
      <w:r>
        <w:rPr>
          <w:rFonts w:ascii="Times New Roman" w:hAnsi="Times New Roman" w:eastAsia="仿宋" w:cs="Times New Roman"/>
          <w:b w:val="0"/>
          <w:sz w:val="28"/>
        </w:rPr>
        <w:t>，001285）披露，其发行股份购买自然人程毅持有的武汉瑞立科德斯汽车电子有限责任公司（下称</w:t>
      </w:r>
      <w:r>
        <w:rPr>
          <w:rFonts w:ascii="Times New Roman" w:hAnsi="Times New Roman" w:eastAsia="Times New Roman" w:cs="Times New Roman"/>
          <w:b w:val="0"/>
          <w:sz w:val="28"/>
        </w:rPr>
        <w:t>“</w:t>
      </w:r>
      <w:r>
        <w:rPr>
          <w:rFonts w:ascii="Times New Roman" w:hAnsi="Times New Roman" w:eastAsia="仿宋" w:cs="Times New Roman"/>
          <w:b w:val="0"/>
          <w:sz w:val="28"/>
        </w:rPr>
        <w:t>科德斯</w:t>
      </w:r>
      <w:r>
        <w:rPr>
          <w:rFonts w:ascii="Times New Roman" w:hAnsi="Times New Roman" w:eastAsia="Times New Roman" w:cs="Times New Roman"/>
          <w:b w:val="0"/>
          <w:sz w:val="28"/>
        </w:rPr>
        <w:t>”</w:t>
      </w:r>
      <w:r>
        <w:rPr>
          <w:rFonts w:ascii="Times New Roman" w:hAnsi="Times New Roman" w:eastAsia="仿宋" w:cs="Times New Roman"/>
          <w:b w:val="0"/>
          <w:sz w:val="28"/>
        </w:rPr>
        <w:t>）16%股权已完成资产过户。该交易虽仅涉及少数股权回收，且公告未披露对价金额与标的财务数据，但其</w:t>
      </w:r>
      <w:r>
        <w:rPr>
          <w:rFonts w:ascii="Times New Roman" w:hAnsi="Times New Roman" w:eastAsia="Times New Roman" w:cs="Times New Roman"/>
          <w:b w:val="0"/>
          <w:sz w:val="28"/>
        </w:rPr>
        <w:t>“</w:t>
      </w:r>
      <w:r>
        <w:rPr>
          <w:rFonts w:ascii="Times New Roman" w:hAnsi="Times New Roman" w:eastAsia="仿宋" w:cs="Times New Roman"/>
          <w:b w:val="0"/>
          <w:sz w:val="28"/>
        </w:rPr>
        <w:t>纯股份支付+关联交易+注册审核</w:t>
      </w:r>
      <w:r>
        <w:rPr>
          <w:rFonts w:ascii="Times New Roman" w:hAnsi="Times New Roman" w:eastAsia="Times New Roman" w:cs="Times New Roman"/>
          <w:b w:val="0"/>
          <w:sz w:val="28"/>
        </w:rPr>
        <w:t>”</w:t>
      </w:r>
      <w:r>
        <w:rPr>
          <w:rFonts w:ascii="Times New Roman" w:hAnsi="Times New Roman" w:eastAsia="仿宋" w:cs="Times New Roman"/>
          <w:b w:val="0"/>
          <w:sz w:val="28"/>
        </w:rPr>
        <w:t>的结构设计，清晰展现了上市平台在零现金消耗下完成股权集中、绑定少数股东并获取监管背书的典型操作，为同类集团提供了小额整合的范式参考。</w:t>
      </w:r>
    </w:p>
    <w:p>
      <w:pPr>
        <w:spacing w:before="0" w:after="0" w:line="240" w:lineRule="auto" w:beforeLines="0" w:afterLines="0"/>
        <w:jc w:val="left"/>
        <w:ind w:firstLineChars="200"/>
      </w:pPr>
      <w:r>
        <w:rPr>
          <w:rFonts w:ascii="Times New Roman" w:hAnsi="Times New Roman" w:eastAsia="仿宋" w:cs="Times New Roman"/>
          <w:b/>
          <w:sz w:val="28"/>
        </w:rPr>
        <w:t>一、交易框架与发起路径：从关联交易定性推断体系内少数股权回收</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案例：瑞立科密收购武汉瑞立科德斯汽车电子有限责任公司16%股权并购方：广州瑞立科密汽车电子股份有限公司并购标的：武汉瑞立科德斯汽车电子有限责任公司16%股权交易金额/估值：16%；16.00%；股份支付；时间线包括2026-06-30：获得证监会同意注册批复（证监许可〔2026〕1575号）；2026-0。</w:t>
      </w:r>
    </w:p>
    <w:p>
      <w:pPr>
        <w:spacing w:before="0" w:after="0" w:line="240" w:lineRule="auto" w:beforeLines="0" w:afterLines="0"/>
        <w:jc w:val="both"/>
        <w:ind w:firstLineChars="200"/>
      </w:pPr>
      <w:r>
        <w:rPr>
          <w:rFonts w:ascii="Times New Roman" w:hAnsi="Times New Roman" w:eastAsia="仿宋" w:cs="Times New Roman"/>
          <w:b w:val="0"/>
          <w:sz w:val="28"/>
        </w:rPr>
        <w:t>本次交易的全部公开信息集中于两份公告：2026年7月1日的《关于发行股份购买资产暨关联交易事项获得中国证券监督管理委员会同意注册批复的公告》（公告编号：2026-055）及7月24日的《关于发行股份购买资产暨关联交易之标的资产过户完成的公告》（公告编号：2026-057）。公告显示，瑞立科密拟以发行股份的方式收购程毅持有的科德斯16.00%股权，交易构成关联交易，独立财务顾问为财通证券股份有限公司，法律顾问为上海市锦天城律师事务所。</w:t>
      </w:r>
    </w:p>
    <w:p>
      <w:pPr>
        <w:spacing w:before="0" w:after="0" w:line="240" w:lineRule="auto" w:beforeLines="0" w:afterLines="0"/>
        <w:jc w:val="both"/>
        <w:ind w:firstLineChars="200"/>
      </w:pPr>
      <w:r>
        <w:rPr>
          <w:rFonts w:ascii="Times New Roman" w:hAnsi="Times New Roman" w:eastAsia="仿宋" w:cs="Times New Roman"/>
          <w:b w:val="0"/>
          <w:sz w:val="28"/>
        </w:rPr>
        <w:t>公开资料未披露交易前瑞立科密持有科德斯的股权比例，也未说明发起过程或买方主观动机，但交易被明确界定为</w:t>
      </w:r>
      <w:r>
        <w:rPr>
          <w:rFonts w:ascii="Times New Roman" w:hAnsi="Times New Roman" w:eastAsia="Times New Roman" w:cs="Times New Roman"/>
          <w:b w:val="0"/>
          <w:sz w:val="28"/>
        </w:rPr>
        <w:t>“</w:t>
      </w:r>
      <w:r>
        <w:rPr>
          <w:rFonts w:ascii="Times New Roman" w:hAnsi="Times New Roman" w:eastAsia="仿宋" w:cs="Times New Roman"/>
          <w:b w:val="0"/>
          <w:sz w:val="28"/>
        </w:rPr>
        <w:t>关联交易</w:t>
      </w:r>
      <w:r>
        <w:rPr>
          <w:rFonts w:ascii="Times New Roman" w:hAnsi="Times New Roman" w:eastAsia="Times New Roman" w:cs="Times New Roman"/>
          <w:b w:val="0"/>
          <w:sz w:val="28"/>
        </w:rPr>
        <w:t>”</w:t>
      </w:r>
      <w:r>
        <w:rPr>
          <w:rFonts w:ascii="Times New Roman" w:hAnsi="Times New Roman" w:eastAsia="仿宋" w:cs="Times New Roman"/>
          <w:b w:val="0"/>
          <w:sz w:val="28"/>
        </w:rPr>
        <w:t>，且标的公司名称与上市公司高度重合（均冠以</w:t>
      </w:r>
      <w:r>
        <w:rPr>
          <w:rFonts w:ascii="Times New Roman" w:hAnsi="Times New Roman" w:eastAsia="Times New Roman" w:cs="Times New Roman"/>
          <w:b w:val="0"/>
          <w:sz w:val="28"/>
        </w:rPr>
        <w:t>“</w:t>
      </w:r>
      <w:r>
        <w:rPr>
          <w:rFonts w:ascii="Times New Roman" w:hAnsi="Times New Roman" w:eastAsia="仿宋" w:cs="Times New Roman"/>
          <w:b w:val="0"/>
          <w:sz w:val="28"/>
        </w:rPr>
        <w:t>瑞立科</w:t>
      </w:r>
      <w:r>
        <w:rPr>
          <w:rFonts w:ascii="Times New Roman" w:hAnsi="Times New Roman" w:eastAsia="Times New Roman" w:cs="Times New Roman"/>
          <w:b w:val="0"/>
          <w:sz w:val="28"/>
        </w:rPr>
        <w:t>”</w:t>
      </w:r>
      <w:r>
        <w:rPr>
          <w:rFonts w:ascii="Times New Roman" w:hAnsi="Times New Roman" w:eastAsia="仿宋" w:cs="Times New Roman"/>
          <w:b w:val="0"/>
          <w:sz w:val="28"/>
        </w:rPr>
        <w:t>），合理推断科德斯原属瑞立科密体系内企业，程毅为其少数股东。此次收购实质是上市公司以新增股份为对价，收回子公司16%的少数股权，从而提升控制权集中度。卖方程毅接受股份支付的客观机制在于：将非上市子公司股权置换为上市公司股票，既获得了流动性更强的资产形态，又可分享上市公司平台带来的价值增长，其利益与上市公司股价表现实现了长期绑定。尽管双方动机未获披露，但从交易结构可推知，上市公司通过股份支付完成少数股权回收，避免了现金流出，同时将外部股东转化为上市公司股东，这一安排本身构成了交易推进的核心经济逻辑。</w:t>
      </w:r>
    </w:p>
    <w:p>
      <w:pPr>
        <w:spacing w:before="0" w:after="0" w:line="240" w:lineRule="auto" w:beforeLines="0" w:afterLines="0"/>
        <w:jc w:val="left"/>
        <w:ind w:firstLineChars="200"/>
      </w:pPr>
      <w:r>
        <w:rPr>
          <w:rFonts w:ascii="Times New Roman" w:hAnsi="Times New Roman" w:eastAsia="仿宋" w:cs="Times New Roman"/>
          <w:b/>
          <w:sz w:val="28"/>
        </w:rPr>
        <w:t>二、股份支付结构的多重功能：现金保留、利益协同与合规信号</w:t>
      </w:r>
    </w:p>
    <w:p>
      <w:pPr>
        <w:spacing w:before="0" w:after="0" w:line="240" w:lineRule="auto" w:beforeLines="0" w:afterLines="0"/>
        <w:jc w:val="both"/>
        <w:ind w:firstLineChars="200"/>
      </w:pPr>
      <w:r>
        <w:rPr>
          <w:rFonts w:ascii="Times New Roman" w:hAnsi="Times New Roman" w:eastAsia="仿宋" w:cs="Times New Roman"/>
          <w:b w:val="0"/>
          <w:sz w:val="28"/>
        </w:rPr>
        <w:t>本次交易选择全额发行股份支付对价，与常见的现金收购少数股权路径形成鲜明对比。按照监管要求，发行股份购买资产需经历董事会和股东大会决议、证监会注册等完整程序，时间与合规成本显著高于纯现金交易。瑞立科密主动选择该路径，至少承载了三重不可替代的功能。</w:t>
      </w:r>
    </w:p>
    <w:p>
      <w:pPr>
        <w:spacing w:before="0" w:after="0" w:line="240" w:lineRule="auto" w:beforeLines="0" w:afterLines="0"/>
        <w:jc w:val="both"/>
        <w:ind w:firstLineChars="200"/>
      </w:pPr>
      <w:r>
        <w:rPr>
          <w:rFonts w:ascii="Times New Roman" w:hAnsi="Times New Roman" w:eastAsia="仿宋" w:cs="Times New Roman"/>
          <w:b/>
          <w:sz w:val="28"/>
        </w:rPr>
        <w:t>第一，彻底规避现金支出，将内部资金保留用于研发、产能建设或营运周转。</w:t>
      </w:r>
      <w:r>
        <w:rPr>
          <w:rFonts w:ascii="Times New Roman" w:hAnsi="Times New Roman" w:eastAsia="仿宋" w:cs="Times New Roman"/>
          <w:b w:val="0"/>
          <w:sz w:val="28"/>
        </w:rPr>
        <w:t>对于处于扩张期的汽车电子企业，现金的灵活配置价值远超一笔小额股权收购的对价。第二，发行股份将交易对方程毅转化为上市公司股东，其收益与瑞立科密股价直接挂钩，构建了天然的利益协同机制。与现金套现离场不同，持股状态促使程毅愿为上市公司整体价值提升提供持续支持，降低了子公司层面的治理摩擦与机会主义风。</w:t>
      </w:r>
    </w:p>
    <w:p>
      <w:pPr>
        <w:spacing w:before="0" w:after="0" w:line="240" w:lineRule="auto" w:beforeLines="0" w:afterLines="0"/>
        <w:jc w:val="both"/>
        <w:ind w:firstLineChars="200"/>
      </w:pPr>
      <w:r>
        <w:rPr>
          <w:rFonts w:ascii="Times New Roman" w:hAnsi="Times New Roman" w:eastAsia="仿宋" w:cs="Times New Roman"/>
          <w:b w:val="0"/>
          <w:sz w:val="28"/>
        </w:rPr>
        <w:t>这一结构还隐含一项制度价值：它验证了在关联交易框架下，针对小额股权收购实施注册制审核的可行性。公告明确后续将确定过渡期损益归属并执行相关承诺，表明即使在内部整合中，也预先设定了盈亏划分机制与持续信披义务，这为同类交易提供了合同条款参照——对内交易不应省略风险分担与合规细节。从资产证券化视角看，上市公司以自身股票作为支付工具，实质是将流动性较弱的非上市公司股权。</w:t>
      </w:r>
    </w:p>
    <w:p>
      <w:pPr>
        <w:spacing w:before="0" w:after="0" w:line="240" w:lineRule="auto" w:beforeLines="0" w:afterLines="0"/>
        <w:jc w:val="left"/>
        <w:ind w:firstLineChars="200"/>
      </w:pPr>
      <w:r>
        <w:rPr>
          <w:rFonts w:ascii="Times New Roman" w:hAnsi="Times New Roman" w:eastAsia="仿宋" w:cs="Times New Roman"/>
          <w:b/>
          <w:sz w:val="28"/>
        </w:rPr>
        <w:t>三、产业整合逻辑与控制权强化：汽车电子系统化趋势下的股权集中</w:t>
      </w:r>
    </w:p>
    <w:p>
      <w:pPr>
        <w:spacing w:before="0" w:after="0" w:line="240" w:lineRule="auto" w:beforeLines="0" w:afterLines="0"/>
        <w:jc w:val="both"/>
        <w:ind w:firstLineChars="200"/>
      </w:pPr>
      <w:r>
        <w:rPr>
          <w:rFonts w:ascii="Times New Roman" w:hAnsi="Times New Roman" w:eastAsia="仿宋" w:cs="Times New Roman"/>
          <w:b w:val="0"/>
          <w:sz w:val="28"/>
        </w:rPr>
        <w:t>汽车电子产业正从分散化配套向系统化、集成化方向快速演进，整车厂越来越倾向于选择能够提供多域控制、软硬件一体方案的Tier1供应商。瑞立科密作为汽车电子控制系统领域上市公司，持续整合体系内同类业务资产，是顺应这一趋势的理性选择。科德斯名称中明确包含</w:t>
      </w:r>
      <w:r>
        <w:rPr>
          <w:rFonts w:ascii="Times New Roman" w:hAnsi="Times New Roman" w:eastAsia="Times New Roman" w:cs="Times New Roman"/>
          <w:b w:val="0"/>
          <w:sz w:val="28"/>
        </w:rPr>
        <w:t>“</w:t>
      </w:r>
      <w:r>
        <w:rPr>
          <w:rFonts w:ascii="Times New Roman" w:hAnsi="Times New Roman" w:eastAsia="仿宋" w:cs="Times New Roman"/>
          <w:b w:val="0"/>
          <w:sz w:val="28"/>
        </w:rPr>
        <w:t>汽车电子</w:t>
      </w:r>
      <w:r>
        <w:rPr>
          <w:rFonts w:ascii="Times New Roman" w:hAnsi="Times New Roman" w:eastAsia="Times New Roman" w:cs="Times New Roman"/>
          <w:b w:val="0"/>
          <w:sz w:val="28"/>
        </w:rPr>
        <w:t>”</w:t>
      </w:r>
      <w:r>
        <w:rPr>
          <w:rFonts w:ascii="Times New Roman" w:hAnsi="Times New Roman" w:eastAsia="仿宋" w:cs="Times New Roman"/>
          <w:b w:val="0"/>
          <w:sz w:val="28"/>
        </w:rPr>
        <w:t>，与上市公司主业高度吻合，即使本次仅收购16%股权，但若瑞立科密此前已持有控制性股权，交易后将进一步集。</w:t>
      </w:r>
    </w:p>
    <w:p>
      <w:pPr>
        <w:spacing w:before="0" w:after="0" w:line="240" w:lineRule="auto" w:beforeLines="0" w:afterLines="0"/>
        <w:jc w:val="both"/>
        <w:ind w:firstLineChars="200"/>
      </w:pPr>
      <w:r>
        <w:rPr>
          <w:rFonts w:ascii="Times New Roman" w:hAnsi="Times New Roman" w:eastAsia="仿宋" w:cs="Times New Roman"/>
          <w:b w:val="0"/>
          <w:sz w:val="28"/>
        </w:rPr>
        <w:t>由于缺乏交易前持股结构与标的财务数据，无法精确估算交易对控制权比例的影响，但从产业时机判断，企业集团往往在子公司培育期接近尾声、即将进入盈利增长阶段时启动少数股权回收，以避免未来价值增长后少数股东溢价要价或决策僵局。此次收购发生的时点，恰处于瑞立科密上市后持续整合的动作链条之上，其公告虽简略，却折射出集团对体系内资产</w:t>
      </w:r>
      <w:r>
        <w:rPr>
          <w:rFonts w:ascii="Times New Roman" w:hAnsi="Times New Roman" w:eastAsia="Times New Roman" w:cs="Times New Roman"/>
          <w:b w:val="0"/>
          <w:sz w:val="28"/>
        </w:rPr>
        <w:t>“</w:t>
      </w:r>
      <w:r>
        <w:rPr>
          <w:rFonts w:ascii="Times New Roman" w:hAnsi="Times New Roman" w:eastAsia="仿宋" w:cs="Times New Roman"/>
          <w:b w:val="0"/>
          <w:sz w:val="28"/>
        </w:rPr>
        <w:t>可收尽收</w:t>
      </w:r>
      <w:r>
        <w:rPr>
          <w:rFonts w:ascii="Times New Roman" w:hAnsi="Times New Roman" w:eastAsia="Times New Roman" w:cs="Times New Roman"/>
          <w:b w:val="0"/>
          <w:sz w:val="28"/>
        </w:rPr>
        <w:t>”</w:t>
      </w:r>
      <w:r>
        <w:rPr>
          <w:rFonts w:ascii="Times New Roman" w:hAnsi="Times New Roman" w:eastAsia="仿宋" w:cs="Times New Roman"/>
          <w:b w:val="0"/>
          <w:sz w:val="28"/>
        </w:rPr>
        <w:t>的战略意图。交易完成后，上市公。</w:t>
      </w:r>
    </w:p>
    <w:p>
      <w:pPr>
        <w:spacing w:before="0" w:after="0" w:line="240" w:lineRule="auto" w:beforeLines="0" w:afterLines="0"/>
        <w:jc w:val="left"/>
        <w:ind w:firstLineChars="200"/>
      </w:pPr>
      <w:r>
        <w:rPr>
          <w:rFonts w:ascii="Times New Roman" w:hAnsi="Times New Roman" w:eastAsia="仿宋" w:cs="Times New Roman"/>
          <w:b/>
          <w:sz w:val="28"/>
        </w:rPr>
        <w:t>四、投后治理与合规延续：过渡期安排与关联交易持续监管</w:t>
      </w:r>
    </w:p>
    <w:p>
      <w:pPr>
        <w:spacing w:before="0" w:after="0" w:line="240" w:lineRule="auto" w:beforeLines="0" w:afterLines="0"/>
        <w:jc w:val="both"/>
        <w:ind w:firstLineChars="200"/>
      </w:pPr>
      <w:r>
        <w:rPr>
          <w:rFonts w:ascii="Times New Roman" w:hAnsi="Times New Roman" w:eastAsia="仿宋" w:cs="Times New Roman"/>
          <w:b w:val="0"/>
          <w:sz w:val="28"/>
        </w:rPr>
        <w:t>资产过户完成仅是整合的起点。根据公告，后续仍需完成股份发行登记、上市公司章程变更等程序，此后瑞立科密需将科德斯纳入更紧密的集团管控框架。尽管公告未提及程毅是否留任，但若其继续参与科德斯经营，其持有的上市公司股份即成为有效的长期激励工具，可将个人利益与集团整体价值牢牢挂钩。此举可减少因交接引发的经营波动，确保标的业务平稳过渡。</w:t>
      </w:r>
    </w:p>
    <w:p>
      <w:pPr>
        <w:spacing w:before="0" w:after="0" w:line="240" w:lineRule="auto" w:beforeLines="0" w:afterLines="0"/>
        <w:jc w:val="both"/>
        <w:ind w:firstLineChars="200"/>
      </w:pPr>
      <w:r>
        <w:rPr>
          <w:rFonts w:ascii="Times New Roman" w:hAnsi="Times New Roman" w:eastAsia="仿宋" w:cs="Times New Roman"/>
          <w:b w:val="0"/>
          <w:sz w:val="28"/>
        </w:rPr>
        <w:t>关联交易的定性要求上市公司维持较高的合规透明度。瑞立科密已履行关联交易审议与披露义务，后续仍需在定期报告中持续披露程毅的持股变动，且科德斯与上市公司之间未来发生的任何新增关联交易均须严格遵循回避表决机制。公告明确提及</w:t>
      </w:r>
      <w:r>
        <w:rPr>
          <w:rFonts w:ascii="Times New Roman" w:hAnsi="Times New Roman" w:eastAsia="Times New Roman" w:cs="Times New Roman"/>
          <w:b w:val="0"/>
          <w:sz w:val="28"/>
        </w:rPr>
        <w:t>“</w:t>
      </w:r>
      <w:r>
        <w:rPr>
          <w:rFonts w:ascii="Times New Roman" w:hAnsi="Times New Roman" w:eastAsia="仿宋" w:cs="Times New Roman"/>
          <w:b w:val="0"/>
          <w:sz w:val="28"/>
        </w:rPr>
        <w:t>过渡期损益归属</w:t>
      </w:r>
      <w:r>
        <w:rPr>
          <w:rFonts w:ascii="Times New Roman" w:hAnsi="Times New Roman" w:eastAsia="Times New Roman" w:cs="Times New Roman"/>
          <w:b w:val="0"/>
          <w:sz w:val="28"/>
        </w:rPr>
        <w:t>”</w:t>
      </w:r>
      <w:r>
        <w:rPr>
          <w:rFonts w:ascii="Times New Roman" w:hAnsi="Times New Roman" w:eastAsia="仿宋" w:cs="Times New Roman"/>
          <w:b w:val="0"/>
          <w:sz w:val="28"/>
        </w:rPr>
        <w:t>条款，表明双方已就标的资产自评估基准日至交割日期间的盈亏归属达成约定，这一安排避免了事后争议，在内部整合中树立了清晰的合同边界。</w:t>
      </w:r>
    </w:p>
    <w:p>
      <w:pPr>
        <w:spacing w:before="0" w:after="0" w:line="240" w:lineRule="auto" w:beforeLines="0" w:afterLines="0"/>
        <w:jc w:val="left"/>
        <w:ind w:firstLineChars="200"/>
      </w:pPr>
      <w:r>
        <w:rPr>
          <w:rFonts w:ascii="Times New Roman" w:hAnsi="Times New Roman" w:eastAsia="仿宋" w:cs="Times New Roman"/>
          <w:b/>
          <w:sz w:val="28"/>
        </w:rPr>
        <w:t>五、结语：股权比例与治理安排的核验方法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瑞立科密回收科德斯16%股权一案，因公开披露信息极为有限，恰凸显并购分析中一个常被忽视的维度：在信息受限时，对交易结构的审视应优先于价格追逐，对合规路径的验证应优先于商业故事的采信。本次交易以发行股份方式促成小额股权过户，创造了一种既巩固控制权又不耗用现金、既绑定原股东又传递治理信号的精巧平衡。支付工具的选择本身就是并购策略的核心，其对现金流、治理结构及市场信心的影响，往往比绝对估值更为深远。</w:t>
      </w:r>
    </w:p>
    <w:p>
      <w:pPr>
        <w:spacing w:before="0" w:after="0" w:line="240" w:lineRule="auto" w:beforeLines="0" w:afterLines="0"/>
        <w:jc w:val="both"/>
        <w:ind w:firstLineChars="200"/>
      </w:pPr>
      <w:r>
        <w:rPr>
          <w:rFonts w:ascii="Times New Roman" w:hAnsi="Times New Roman" w:eastAsia="仿宋" w:cs="Times New Roman"/>
          <w:b w:val="0"/>
          <w:sz w:val="28"/>
        </w:rPr>
        <w:t>对同类产业集团的方法论启示可归纳为三点。其一，整合体系内资产时，支付工具应优先匹配战略诉求；股份支付虽流程更长，却同时实现现金保留、利益绑定与信号传递三重功能，在关联方整合中具备独特价值。其二，关联交易合规并非走过场；完整履行注册审核、聘请独立中介、约定过渡期损益等动作，前期成本虽高，但大幅降低了事后纠纷与监管质疑的概率。其三，少数股权收购不应因规模小而被轻视——16%的股权变动可能跨越关键表决权门槛或影响并表口径，其控制权影响与产业协同价值需要深入评估。</w:t>
      </w:r>
    </w:p>
    <w:p>
      <w:pPr>
        <w:spacing w:before="0" w:after="0" w:line="240" w:lineRule="auto" w:beforeLines="0" w:afterLines="0"/>
        <w:jc w:val="both"/>
        <w:ind w:firstLineChars="200"/>
      </w:pPr>
      <w:r>
        <w:rPr>
          <w:rFonts w:ascii="Times New Roman" w:hAnsi="Times New Roman" w:eastAsia="仿宋" w:cs="Times New Roman"/>
          <w:b w:val="0"/>
          <w:sz w:val="28"/>
        </w:rPr>
        <w:t>本案最终的方法论意义在于：依托上市平台持续整合同类资产，真正的持续性竞争力来源于善用上市地位将非上市资产转化为可流动、可激励的证券。一次低调的16%股权过户，完成了对体系内一块拼图的更紧密锁定，其可复制性根植于合规的结构设计、产业逻辑的自洽以及对支付工具杠杆效应的精准把握。对于持有大量待整合资产的上市集团，这份简短的过户公告提供了比许多长篇预案更具实务价值的参照：并购前应核验交易结构是否同时服务于控制权稳固与资本效率；交割后应持续验证治理安排与承诺履行的有效性。</w:t>
      </w:r>
    </w:p>
    <w:p>
      <w:pPr>
        <w:spacing w:before="0" w:after="0" w:line="240" w:lineRule="auto" w:beforeLines="0" w:afterLines="0"/>
        <w:jc w:val="both"/>
        <w:ind w:firstLineChars="200"/>
      </w:pPr>
      <w:r>
        <w:rPr>
          <w:rFonts w:ascii="Times New Roman" w:hAnsi="Times New Roman" w:eastAsia="仿宋" w:cs="Times New Roman"/>
          <w:b w:val="0"/>
          <w:sz w:val="28"/>
        </w:rPr>
        <w:t>回到广州瑞立科密汽车电子与武汉瑞立科德斯汽车电，本案的方法论意义不在于把交易结果写成通用并购总结，而在于把案例：瑞立科密收购武汉瑞立科德斯汽车电子有限责任公司16%股权并购方：广州瑞立科密汽车电子股份有限公司并购标的：武汉瑞立科德斯汽车电子有限责任公司16%股权交易金额/估值：16%；16.00%；股份支付、标的股权比例：16%；支付方式：股份支付；交易对方：程毅；案例：瑞立科密收购武汉瑞立科德斯汽车电子有限责任公司16%股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广州瑞立科密汽车电子而言，关键是交割承接和整合节奏能否与已披露安排匹配；对武汉瑞立科德斯汽车电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