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宁夏东泰能源集团收购广西东方智造科技：控制权与治理安排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本案例涉及宁夏东泰能源集团有限公司（下称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宁夏东泰能源</w:t>
      </w:r>
      <w:r>
        <w:rPr>
          <w:rFonts w:ascii="Times New Roman" w:hAnsi="Times New Roman" w:eastAsia="Times New Roman" w:cs="Times New Roman"/>
          <w:b w:val="0"/>
          <w:sz w:val="28"/>
        </w:rPr>
        <w:t>”</w:t>
      </w:r>
      <w:r>
        <w:rPr>
          <w:rFonts w:ascii="Times New Roman" w:hAnsi="Times New Roman" w:eastAsia="仿宋" w:cs="Times New Roman"/>
          <w:b w:val="0"/>
          <w:sz w:val="28"/>
        </w:rPr>
        <w:t>）收购广西东方智造科技股份有限公司（下称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广西东方智造科技</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关于股份协议转让完成过户登记及股份解除质押暨公司控制权发生变更的公告，目标线索为公开资料未单独披露买方主观原因；客观安排依据为通过协议转让方式受让14.76%股份，从而获得上市公司控制权。。当一家能源集团通过协议转让取得处于退市风险警示的科技公司控制权，而公告未披露任何产业协同逻辑时，交易的可信度几乎完全依赖结构设计的刚性。宁夏东泰能源集团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东泰能源</w:t>
      </w:r>
      <w:r>
        <w:rPr>
          <w:rFonts w:ascii="Times New Roman" w:hAnsi="Times New Roman" w:eastAsia="Times New Roman" w:cs="Times New Roman"/>
          <w:b w:val="0"/>
          <w:sz w:val="28"/>
        </w:rPr>
        <w:t>”</w:t>
      </w:r>
      <w:r>
        <w:rPr>
          <w:rFonts w:ascii="Times New Roman" w:hAnsi="Times New Roman" w:eastAsia="仿宋" w:cs="Times New Roman"/>
          <w:b w:val="0"/>
          <w:sz w:val="28"/>
        </w:rPr>
        <w:t>）以546,650,000元受让广西东方智造科技股份有限公司（下称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*ST东智</w:t>
      </w:r>
      <w:r>
        <w:rPr>
          <w:rFonts w:ascii="Times New Roman" w:hAnsi="Times New Roman" w:eastAsia="Times New Roman" w:cs="Times New Roman"/>
          <w:b w:val="0"/>
          <w:sz w:val="28"/>
        </w:rPr>
        <w:t>”</w:t>
      </w:r>
      <w:r>
        <w:rPr>
          <w:rFonts w:ascii="Times New Roman" w:hAnsi="Times New Roman" w:eastAsia="仿宋" w:cs="Times New Roman"/>
          <w:b w:val="0"/>
          <w:sz w:val="28"/>
        </w:rPr>
        <w:t>，股票代码002175）188,500,000股（占总股本14.76%）一案，每股价格2.90元，从2026年6月26日签约到7月22日过户仅27天。其快速完成的关键在于两组承诺：东泰能源承诺受让股份60个月内不转让、不委托表决权、不分割收益权；原控股股东科翔高新技术发展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科翔高新</w:t>
      </w:r>
      <w:r>
        <w:rPr>
          <w:rFonts w:ascii="Times New Roman" w:hAnsi="Times New Roman" w:eastAsia="Times New Roman" w:cs="Times New Roman"/>
          <w:b w:val="0"/>
          <w:sz w:val="28"/>
        </w:rPr>
        <w:t>”</w:t>
      </w:r>
      <w:r>
        <w:rPr>
          <w:rFonts w:ascii="Times New Roman" w:hAnsi="Times New Roman" w:eastAsia="仿宋" w:cs="Times New Roman"/>
          <w:b w:val="0"/>
          <w:sz w:val="28"/>
        </w:rPr>
        <w:t>）承诺36个月内不减持剩余股份。同时，收购资金中自有部分不低于50%，过滤了高杠杆风险。在跨界、ST、信息有限的背景下，这些锁定安排替代了公开的战略说明，成为监管审查与市场判断的核心依据。本案由此提示，当交易双方不披露协同细节时，承诺条款的严苛程度本身即构成一种信号——它用时间锁定了利益，也锁定了预期。</w:t>
      </w:r>
    </w:p>
    <w:p>
      <w:pPr>
        <w:spacing w:before="0" w:after="0" w:line="240" w:lineRule="auto" w:beforeLines="0" w:afterLines="0"/>
        <w:jc w:val="left"/>
        <w:ind w:firstLineChars="200"/>
      </w:pPr>
      <w:r>
        <w:rPr>
          <w:rFonts w:ascii="Times New Roman" w:hAnsi="Times New Roman" w:eastAsia="仿宋" w:cs="Times New Roman"/>
          <w:b/>
          <w:sz w:val="28"/>
        </w:rPr>
        <w:t>一、控制权变更的紧凑路径：签约到过户27天的协议转让机制</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546,650,000元；披露的每股价格为2.90元/股；时间线包括2026年6月26日：签署《股份转让协议》；2026年7月9日：签署《股份转让协议之补充协议》；关键数字包括转让股份：188,500,000股；占股本比例：14.76%；转让价格：2.90元/股；转让总价款：546,650,000元。已抓取资料中的财务和经营线索为公开资料未披露交易相关财务数据，仅披露股份转让价格和数量等交易条款。。收购方、买方和并购方的购买理由需要回到公开资料未单独披露买方主观原因；客观安排依据为通过协议转让方式受让14.76%股份，从而获得上市公司控制权。；出售方、转让方或预受要约股东的接受安排依据为公开资料未单独披露出售方主观原因；客观安排依据为协议转让方式，转让价格为2.90元/股，对应总价款546,650,000元。。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交易前，*ST东智因触发退市风险警示而面临保壳压力，原控股股东科翔高新（实际控制人李斌）的持股比例虽未细致披露，但转让14.76%即导致控制权变更的事实表明其控制地位薄弱。2026年6月26日，科翔高新、李斌与东泰能源、王建英签署《关于广西东方智造科技股份有限公司的股份转让协议》，约定以协议转让方式出售188,500,000股无限售条件流通股，对应总价546,650,000元（含税）。按此价格推算，上市公司整体估值约为37.06亿元，对于深陷经营困局的ST公司而言，该估值隐含了明显的控制权溢价。</w:t>
      </w:r>
    </w:p>
    <w:p>
      <w:pPr>
        <w:spacing w:before="0" w:after="0" w:line="240" w:lineRule="auto" w:beforeLines="0" w:afterLines="0"/>
        <w:jc w:val="both"/>
        <w:ind w:firstLineChars="200"/>
      </w:pPr>
      <w:r>
        <w:rPr>
          <w:rFonts w:ascii="Times New Roman" w:hAnsi="Times New Roman" w:eastAsia="仿宋" w:cs="Times New Roman"/>
          <w:b w:val="0"/>
          <w:sz w:val="28"/>
        </w:rPr>
        <w:t>协议签署后，各方又于7月9日和7月15日连续签署两份补充协议，具体调整条款虽未公开，但结合公告提及的</w:t>
      </w:r>
      <w:r>
        <w:rPr>
          <w:rFonts w:ascii="Times New Roman" w:hAnsi="Times New Roman" w:eastAsia="Times New Roman" w:cs="Times New Roman"/>
          <w:b w:val="0"/>
          <w:sz w:val="28"/>
        </w:rPr>
        <w:t>“</w:t>
      </w:r>
      <w:r>
        <w:rPr>
          <w:rFonts w:ascii="Times New Roman" w:hAnsi="Times New Roman" w:eastAsia="仿宋" w:cs="Times New Roman"/>
          <w:b w:val="0"/>
          <w:sz w:val="28"/>
        </w:rPr>
        <w:t>股份解除质押</w:t>
      </w:r>
      <w:r>
        <w:rPr>
          <w:rFonts w:ascii="Times New Roman" w:hAnsi="Times New Roman" w:eastAsia="Times New Roman" w:cs="Times New Roman"/>
          <w:b w:val="0"/>
          <w:sz w:val="28"/>
        </w:rPr>
        <w:t>”</w:t>
      </w:r>
      <w:r>
        <w:rPr>
          <w:rFonts w:ascii="Times New Roman" w:hAnsi="Times New Roman" w:eastAsia="仿宋" w:cs="Times New Roman"/>
          <w:b w:val="0"/>
          <w:sz w:val="28"/>
        </w:rPr>
        <w:t>信息，可推断原控股股东的持股已存在质押负担，补充协议很可能涉及资金路径、解押安排与交割条件的细化，以确保过户顺利。7月22日，深交所完成合规确认，中证登深圳分公司出具《证券过户登记确认书》，控股股东变更为东泰能源，实际控制人变更为王建英。协议转让方式不涉及新股发行、不触发要约收购，仅需通过深交所合规审核，程序明确且时间可预期，这是交易能在短时间内完成的基础。公开资料未披露触发交易的特定事件或发起方，只能从结果反推原控股股东存在退出意愿，而东泰能源则以取得控制权为目的主动受让了14.76%股份。</w:t>
      </w:r>
    </w:p>
    <w:p>
      <w:pPr>
        <w:spacing w:before="0" w:after="0" w:line="240" w:lineRule="auto" w:beforeLines="0" w:afterLines="0"/>
        <w:jc w:val="left"/>
        <w:ind w:firstLineChars="200"/>
      </w:pPr>
      <w:r>
        <w:rPr>
          <w:rFonts w:ascii="Times New Roman" w:hAnsi="Times New Roman" w:eastAsia="仿宋" w:cs="Times New Roman"/>
          <w:b/>
          <w:sz w:val="28"/>
        </w:rPr>
        <w:t>二、锁定期承诺的双层结构：60个月不转让与36个月不减持的稳定机制</w:t>
      </w:r>
    </w:p>
    <w:p>
      <w:pPr>
        <w:spacing w:before="0" w:after="0" w:line="240" w:lineRule="auto" w:beforeLines="0" w:afterLines="0"/>
        <w:jc w:val="both"/>
        <w:ind w:firstLineChars="200"/>
      </w:pPr>
      <w:r>
        <w:rPr>
          <w:rFonts w:ascii="Times New Roman" w:hAnsi="Times New Roman" w:eastAsia="仿宋" w:cs="Times New Roman"/>
          <w:b w:val="0"/>
          <w:sz w:val="28"/>
        </w:rPr>
        <w:t>控制权交易中，收购方持股锁定期是对市场预期最直接的锚定工具。东泰能源承诺的60个月锁定期远超过法定收购人的12个月最低要求，且附加了</w:t>
      </w:r>
      <w:r>
        <w:rPr>
          <w:rFonts w:ascii="Times New Roman" w:hAnsi="Times New Roman" w:eastAsia="Times New Roman" w:cs="Times New Roman"/>
          <w:b w:val="0"/>
          <w:sz w:val="28"/>
        </w:rPr>
        <w:t>“</w:t>
      </w:r>
      <w:r>
        <w:rPr>
          <w:rFonts w:ascii="Times New Roman" w:hAnsi="Times New Roman" w:eastAsia="仿宋" w:cs="Times New Roman"/>
          <w:b w:val="0"/>
          <w:sz w:val="28"/>
        </w:rPr>
        <w:t>不对外转让、不委托他人行使表决权、不就该等股份协议分割收益权</w:t>
      </w:r>
      <w:r>
        <w:rPr>
          <w:rFonts w:ascii="Times New Roman" w:hAnsi="Times New Roman" w:eastAsia="Times New Roman" w:cs="Times New Roman"/>
          <w:b w:val="0"/>
          <w:sz w:val="28"/>
        </w:rPr>
        <w:t>”</w:t>
      </w:r>
      <w:r>
        <w:rPr>
          <w:rFonts w:ascii="Times New Roman" w:hAnsi="Times New Roman" w:eastAsia="仿宋" w:cs="Times New Roman"/>
          <w:b w:val="0"/>
          <w:sz w:val="28"/>
        </w:rPr>
        <w:t>的三重限制。这意味着未来5年内，上市公司控制权的归属已通过所有权、表决权与收益权的</w:t>
      </w:r>
      <w:r>
        <w:rPr>
          <w:rFonts w:ascii="Times New Roman" w:hAnsi="Times New Roman" w:eastAsia="Times New Roman" w:cs="Times New Roman"/>
          <w:b w:val="0"/>
          <w:sz w:val="28"/>
        </w:rPr>
        <w:t>“</w:t>
      </w:r>
      <w:r>
        <w:rPr>
          <w:rFonts w:ascii="Times New Roman" w:hAnsi="Times New Roman" w:eastAsia="仿宋" w:cs="Times New Roman"/>
          <w:b w:val="0"/>
          <w:sz w:val="28"/>
        </w:rPr>
        <w:t>三位一体</w:t>
      </w:r>
      <w:r>
        <w:rPr>
          <w:rFonts w:ascii="Times New Roman" w:hAnsi="Times New Roman" w:eastAsia="Times New Roman" w:cs="Times New Roman"/>
          <w:b w:val="0"/>
          <w:sz w:val="28"/>
        </w:rPr>
        <w:t>”</w:t>
      </w:r>
      <w:r>
        <w:rPr>
          <w:rFonts w:ascii="Times New Roman" w:hAnsi="Times New Roman" w:eastAsia="仿宋" w:cs="Times New Roman"/>
          <w:b w:val="0"/>
          <w:sz w:val="28"/>
        </w:rPr>
        <w:t>锁定完全固化，消除了因股权再转让或表决权安排引发控制权争夺的可能。</w:t>
      </w:r>
    </w:p>
    <w:p>
      <w:pPr>
        <w:spacing w:before="0" w:after="0" w:line="240" w:lineRule="auto" w:beforeLines="0" w:afterLines="0"/>
        <w:jc w:val="both"/>
        <w:ind w:firstLineChars="200"/>
      </w:pPr>
      <w:r>
        <w:rPr>
          <w:rFonts w:ascii="Times New Roman" w:hAnsi="Times New Roman" w:eastAsia="仿宋" w:cs="Times New Roman"/>
          <w:b w:val="0"/>
          <w:sz w:val="28"/>
        </w:rPr>
        <w:t>与此同时，科翔高新承诺自过户完成起36个月内不以任何方式减持其持有的剩余股份。这侧面稳定了第二大股东层面的股权结构，避免原控股股东清仓式退出对二级市场形成冲击。两项承诺共同构成</w:t>
      </w:r>
      <w:r>
        <w:rPr>
          <w:rFonts w:ascii="Times New Roman" w:hAnsi="Times New Roman" w:eastAsia="Times New Roman" w:cs="Times New Roman"/>
          <w:b w:val="0"/>
          <w:sz w:val="28"/>
        </w:rPr>
        <w:t>“</w:t>
      </w:r>
      <w:r>
        <w:rPr>
          <w:rFonts w:ascii="Times New Roman" w:hAnsi="Times New Roman" w:eastAsia="仿宋" w:cs="Times New Roman"/>
          <w:b w:val="0"/>
          <w:sz w:val="28"/>
        </w:rPr>
        <w:t>双向锁定</w:t>
      </w:r>
      <w:r>
        <w:rPr>
          <w:rFonts w:ascii="Times New Roman" w:hAnsi="Times New Roman" w:eastAsia="Times New Roman" w:cs="Times New Roman"/>
          <w:b w:val="0"/>
          <w:sz w:val="28"/>
        </w:rPr>
        <w:t>”</w:t>
      </w:r>
      <w:r>
        <w:rPr>
          <w:rFonts w:ascii="Times New Roman" w:hAnsi="Times New Roman" w:eastAsia="仿宋" w:cs="Times New Roman"/>
          <w:b w:val="0"/>
          <w:sz w:val="28"/>
        </w:rPr>
        <w:t>：收购方长期持股且权力不稀释，原控股股东中期锁仓不抛售。此设计尤其适用于跨界且信息不透明的交易——当市场无法通过产业逻辑判断收购方将如何整合标的时，只能依靠锁定期来评估控制权的稳定性。</w:t>
      </w:r>
    </w:p>
    <w:p>
      <w:pPr>
        <w:spacing w:before="0" w:after="0" w:line="240" w:lineRule="auto" w:beforeLines="0" w:afterLines="0"/>
        <w:jc w:val="left"/>
        <w:ind w:firstLineChars="200"/>
      </w:pPr>
      <w:r>
        <w:rPr>
          <w:rFonts w:ascii="Times New Roman" w:hAnsi="Times New Roman" w:eastAsia="仿宋" w:cs="Times New Roman"/>
          <w:b/>
          <w:sz w:val="28"/>
        </w:rPr>
        <w:t>三、自有资金门槛与合规过滤：资金来源披露如何支撑估值的逻辑</w:t>
      </w:r>
    </w:p>
    <w:p>
      <w:pPr>
        <w:spacing w:before="0" w:after="0" w:line="240" w:lineRule="auto" w:beforeLines="0" w:afterLines="0"/>
        <w:jc w:val="both"/>
        <w:ind w:firstLineChars="200"/>
      </w:pPr>
      <w:r>
        <w:rPr>
          <w:rFonts w:ascii="Times New Roman" w:hAnsi="Times New Roman" w:eastAsia="仿宋" w:cs="Times New Roman"/>
          <w:b w:val="0"/>
          <w:sz w:val="28"/>
        </w:rPr>
        <w:t>公告明确，东泰能源受让股份的资金全部源于自有或自筹资金，其中自有资金不低于50%，且不存在代持、结构化安排或直接间接使用上市公司及其关联方资金的情形，亦无任何保底或收益补偿安排。自有资金不低于50%，即至少273,325,000元来自收购方自身积累或股东投入，剩余部分即便通过借贷解决，整体杠杆倍数也相对可控。这一披露直击监管核心关切——收购资金是否合法、是否存在利益输送或隐性兜底。</w:t>
      </w:r>
    </w:p>
    <w:p>
      <w:pPr>
        <w:spacing w:before="0" w:after="0" w:line="240" w:lineRule="auto" w:beforeLines="0" w:afterLines="0"/>
        <w:jc w:val="both"/>
        <w:ind w:firstLineChars="200"/>
      </w:pPr>
      <w:r>
        <w:rPr>
          <w:rFonts w:ascii="Times New Roman" w:hAnsi="Times New Roman" w:eastAsia="仿宋" w:cs="Times New Roman"/>
          <w:b w:val="0"/>
          <w:sz w:val="28"/>
        </w:rPr>
        <w:t>将资金安排与37亿元的整体估值交叉验证：买方以不低于2.73亿元自有资金投入，锁定一家估值37亿元但面临退市风险的上市公司控制权，后续若无法通过改善经营或资产重组提升市值，其自有资金将面临长期沉没风险。因此，自有资金门槛不仅降低了杠杆风险，也反向强化了锁定期承诺的可信度——收购方以真金白银为自己的长期承诺背书。深交所的合规确认程序正是基于此类披露来过滤风险。</w:t>
      </w:r>
    </w:p>
    <w:p>
      <w:pPr>
        <w:spacing w:before="0" w:after="0" w:line="240" w:lineRule="auto" w:beforeLines="0" w:afterLines="0"/>
        <w:jc w:val="left"/>
        <w:ind w:firstLineChars="200"/>
      </w:pPr>
      <w:r>
        <w:rPr>
          <w:rFonts w:ascii="Times New Roman" w:hAnsi="Times New Roman" w:eastAsia="仿宋" w:cs="Times New Roman"/>
          <w:b/>
          <w:sz w:val="28"/>
        </w:rPr>
        <w:t>四、跨界入主与整合留白：产业意图的等待与治理边界的挑战</w:t>
      </w:r>
    </w:p>
    <w:p>
      <w:pPr>
        <w:spacing w:before="0" w:after="0" w:line="240" w:lineRule="auto" w:beforeLines="0" w:afterLines="0"/>
        <w:jc w:val="both"/>
        <w:ind w:firstLineChars="200"/>
      </w:pPr>
      <w:r>
        <w:rPr>
          <w:rFonts w:ascii="Times New Roman" w:hAnsi="Times New Roman" w:eastAsia="仿宋" w:cs="Times New Roman"/>
          <w:b w:val="0"/>
          <w:sz w:val="28"/>
        </w:rPr>
        <w:t>东泰能源名称带有</w:t>
      </w:r>
      <w:r>
        <w:rPr>
          <w:rFonts w:ascii="Times New Roman" w:hAnsi="Times New Roman" w:eastAsia="Times New Roman" w:cs="Times New Roman"/>
          <w:b w:val="0"/>
          <w:sz w:val="28"/>
        </w:rPr>
        <w:t>“</w:t>
      </w:r>
      <w:r>
        <w:rPr>
          <w:rFonts w:ascii="Times New Roman" w:hAnsi="Times New Roman" w:eastAsia="仿宋" w:cs="Times New Roman"/>
          <w:b w:val="0"/>
          <w:sz w:val="28"/>
        </w:rPr>
        <w:t>能源</w:t>
      </w:r>
      <w:r>
        <w:rPr>
          <w:rFonts w:ascii="Times New Roman" w:hAnsi="Times New Roman" w:eastAsia="Times New Roman" w:cs="Times New Roman"/>
          <w:b w:val="0"/>
          <w:sz w:val="28"/>
        </w:rPr>
        <w:t>”</w:t>
      </w:r>
      <w:r>
        <w:rPr>
          <w:rFonts w:ascii="Times New Roman" w:hAnsi="Times New Roman" w:eastAsia="仿宋" w:cs="Times New Roman"/>
          <w:b w:val="0"/>
          <w:sz w:val="28"/>
        </w:rPr>
        <w:t>字样，其主营业务约略集中于传统或新能源领域；*ST东智的简称暗示其可能从事智能制造、物联网等相关技术业务，二者产业链位置相距甚远。公开资料未披露任何产业协同点、业务整合计划或管理层安排，直接推断协同效应缺乏依据。从上市公司控制权交易的常见模式观察，跨界收购ST公司往往隐含资产注入、借壳重组或战略转型的意图，但本案完全未透露此类信息，只能视为一种</w:t>
      </w:r>
      <w:r>
        <w:rPr>
          <w:rFonts w:ascii="Times New Roman" w:hAnsi="Times New Roman" w:eastAsia="Times New Roman" w:cs="Times New Roman"/>
          <w:b w:val="0"/>
          <w:sz w:val="28"/>
        </w:rPr>
        <w:t>“</w:t>
      </w:r>
      <w:r>
        <w:rPr>
          <w:rFonts w:ascii="Times New Roman" w:hAnsi="Times New Roman" w:eastAsia="仿宋" w:cs="Times New Roman"/>
          <w:b w:val="0"/>
          <w:sz w:val="28"/>
        </w:rPr>
        <w:t>先拿控股权、留出时间窗口</w:t>
      </w:r>
      <w:r>
        <w:rPr>
          <w:rFonts w:ascii="Times New Roman" w:hAnsi="Times New Roman" w:eastAsia="Times New Roman" w:cs="Times New Roman"/>
          <w:b w:val="0"/>
          <w:sz w:val="28"/>
        </w:rPr>
        <w:t>”</w:t>
      </w:r>
      <w:r>
        <w:rPr>
          <w:rFonts w:ascii="Times New Roman" w:hAnsi="Times New Roman" w:eastAsia="仿宋" w:cs="Times New Roman"/>
          <w:b w:val="0"/>
          <w:sz w:val="28"/>
        </w:rPr>
        <w:t>的安排。</w:t>
      </w:r>
    </w:p>
    <w:p>
      <w:pPr>
        <w:spacing w:before="0" w:after="0" w:line="240" w:lineRule="auto" w:beforeLines="0" w:afterLines="0"/>
        <w:jc w:val="both"/>
        <w:ind w:firstLineChars="200"/>
      </w:pPr>
      <w:r>
        <w:rPr>
          <w:rFonts w:ascii="Times New Roman" w:hAnsi="Times New Roman" w:eastAsia="仿宋" w:cs="Times New Roman"/>
          <w:b w:val="0"/>
          <w:sz w:val="28"/>
        </w:rPr>
        <w:t>60个月的锁定期确实为后续运作预留了充裕时间，而自有资金占比高也反映出东泰能源具备一定的资本腾挪空间。然而，跨界整合的挑战是硬性的：管理层是否具备科技行业经验、原有能源业务与新业务如何建立关联、如何扭转上市公司经营困境等，均无答案。在巨大的信息真空下，交易仍凭借结构性的锁定承诺完成交割，这表明当商业前景难以公开论证时，刚性承诺可以替代战略叙事，成为交易推进的核心工具。未来，上市公司能否保住上市地位并恢复再融资能力，将是所有潜在后续动作的前提。</w:t>
      </w:r>
    </w:p>
    <w:p>
      <w:pPr>
        <w:spacing w:before="0" w:after="0" w:line="240" w:lineRule="auto" w:beforeLines="0" w:afterLines="0"/>
        <w:jc w:val="left"/>
        <w:ind w:firstLineChars="200"/>
      </w:pPr>
      <w:r>
        <w:rPr>
          <w:rFonts w:ascii="Times New Roman" w:hAnsi="Times New Roman" w:eastAsia="仿宋" w:cs="Times New Roman"/>
          <w:b/>
          <w:sz w:val="28"/>
        </w:rPr>
        <w:t>五、结语：控制权与治理安排的核验方法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东泰能源以546,650,000元取得*ST东智14.76%股权，通过60个月不转让、不委托表决权、不分割收益权的</w:t>
      </w:r>
      <w:r>
        <w:rPr>
          <w:rFonts w:ascii="Times New Roman" w:hAnsi="Times New Roman" w:eastAsia="Times New Roman" w:cs="Times New Roman"/>
          <w:b w:val="0"/>
          <w:sz w:val="28"/>
        </w:rPr>
        <w:t>“</w:t>
      </w:r>
      <w:r>
        <w:rPr>
          <w:rFonts w:ascii="Times New Roman" w:hAnsi="Times New Roman" w:eastAsia="仿宋" w:cs="Times New Roman"/>
          <w:b w:val="0"/>
          <w:sz w:val="28"/>
        </w:rPr>
        <w:t>三位一体</w:t>
      </w:r>
      <w:r>
        <w:rPr>
          <w:rFonts w:ascii="Times New Roman" w:hAnsi="Times New Roman" w:eastAsia="Times New Roman" w:cs="Times New Roman"/>
          <w:b w:val="0"/>
          <w:sz w:val="28"/>
        </w:rPr>
        <w:t>”</w:t>
      </w:r>
      <w:r>
        <w:rPr>
          <w:rFonts w:ascii="Times New Roman" w:hAnsi="Times New Roman" w:eastAsia="仿宋" w:cs="Times New Roman"/>
          <w:b w:val="0"/>
          <w:sz w:val="28"/>
        </w:rPr>
        <w:t>锁定，加上科翔高新36个月不减持承诺，构建了高度稳定的控制权架构；自有资金不低于50%的安排则过滤了高杠杆风险，使交易顺利通过深交所审核。这些结构设计在信息不对称的环境下，实质上扮演了信息披露替代机制的角色——承诺的严苛程度降低了市场对战略协同说明的依赖，监管只需验证承诺可执行即可放行。</w:t>
      </w:r>
    </w:p>
    <w:p>
      <w:pPr>
        <w:spacing w:before="0" w:after="0" w:line="240" w:lineRule="auto" w:beforeLines="0" w:afterLines="0"/>
        <w:jc w:val="both"/>
        <w:ind w:firstLineChars="200"/>
      </w:pPr>
      <w:r>
        <w:rPr>
          <w:rFonts w:ascii="Times New Roman" w:hAnsi="Times New Roman" w:eastAsia="仿宋" w:cs="Times New Roman"/>
          <w:b w:val="0"/>
          <w:sz w:val="28"/>
        </w:rPr>
        <w:t>对于同类跨界、ST、信息有限的上市公司控制权并购，本案提供了明确的操作参照：第一，收购方设置超长锁定期并配套表决权、收益权限制，可向市场传递绝不短期套利的信号；第二，原控股股东承诺中短期不减持剩余股份，有助于避免形成</w:t>
      </w:r>
      <w:r>
        <w:rPr>
          <w:rFonts w:ascii="Times New Roman" w:hAnsi="Times New Roman" w:eastAsia="Times New Roman" w:cs="Times New Roman"/>
          <w:b w:val="0"/>
          <w:sz w:val="28"/>
        </w:rPr>
        <w:t>“</w:t>
      </w:r>
      <w:r>
        <w:rPr>
          <w:rFonts w:ascii="Times New Roman" w:hAnsi="Times New Roman" w:eastAsia="仿宋" w:cs="Times New Roman"/>
          <w:b w:val="0"/>
          <w:sz w:val="28"/>
        </w:rPr>
        <w:t>前脚退出、后脚抛售</w:t>
      </w:r>
      <w:r>
        <w:rPr>
          <w:rFonts w:ascii="Times New Roman" w:hAnsi="Times New Roman" w:eastAsia="Times New Roman" w:cs="Times New Roman"/>
          <w:b w:val="0"/>
          <w:sz w:val="28"/>
        </w:rPr>
        <w:t>”</w:t>
      </w:r>
      <w:r>
        <w:rPr>
          <w:rFonts w:ascii="Times New Roman" w:hAnsi="Times New Roman" w:eastAsia="仿宋" w:cs="Times New Roman"/>
          <w:b w:val="0"/>
          <w:sz w:val="28"/>
        </w:rPr>
        <w:t>的负面印象；第三，确保自有资金比例足够高并公开说明资金来源，是取得监管信任的关键；第四，在交易估值层面，买方应愿意支付与控制权稳定性相匹配的价格，以支撑其长期承诺的经济基础。*ST东智案的完成证明，当战略故事难以公开讲述时，让承诺条款本身成为交易信心的载体——通过将关键利益方以</w:t>
      </w:r>
      <w:r>
        <w:rPr>
          <w:rFonts w:ascii="Times New Roman" w:hAnsi="Times New Roman" w:eastAsia="Times New Roman" w:cs="Times New Roman"/>
          <w:b w:val="0"/>
          <w:sz w:val="28"/>
        </w:rPr>
        <w:t>“</w:t>
      </w:r>
      <w:r>
        <w:rPr>
          <w:rFonts w:ascii="Times New Roman" w:hAnsi="Times New Roman" w:eastAsia="仿宋" w:cs="Times New Roman"/>
          <w:b w:val="0"/>
          <w:sz w:val="28"/>
        </w:rPr>
        <w:t>锁定期+资金门槛</w:t>
      </w:r>
      <w:r>
        <w:rPr>
          <w:rFonts w:ascii="Times New Roman" w:hAnsi="Times New Roman" w:eastAsia="Times New Roman" w:cs="Times New Roman"/>
          <w:b w:val="0"/>
          <w:sz w:val="28"/>
        </w:rPr>
        <w:t>”</w:t>
      </w:r>
      <w:r>
        <w:rPr>
          <w:rFonts w:ascii="Times New Roman" w:hAnsi="Times New Roman" w:eastAsia="仿宋" w:cs="Times New Roman"/>
          <w:b w:val="0"/>
          <w:sz w:val="28"/>
        </w:rPr>
        <w:t>的方式深度绑定，刚性结构同样能推动并购落地。</w:t>
      </w:r>
    </w:p>
    <w:p>
      <w:pPr>
        <w:spacing w:before="0" w:after="0" w:line="240" w:lineRule="auto" w:beforeLines="0" w:afterLines="0"/>
        <w:jc w:val="both"/>
        <w:ind w:firstLineChars="200"/>
      </w:pPr>
      <w:r>
        <w:rPr>
          <w:rFonts w:ascii="Times New Roman" w:hAnsi="Times New Roman" w:eastAsia="仿宋" w:cs="Times New Roman"/>
          <w:b w:val="0"/>
          <w:sz w:val="28"/>
        </w:rPr>
        <w:t>回到宁夏东泰能源集团与广西东方智造科技，本案的方法论意义不在于把交易结果写成通用并购总结，而在于把546,650,000元；披露的每股价格为2.90元/股、转让股份：188,500,000股；占股本比例：14.76%；转让价格：2.90元/股；转让总价款：546,650,000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宁夏东泰能源集团而言，关键是交割承接和整合节奏能否与已披露安排匹配；对广西东方智造科技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