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杭州拼便宜网络科技收购嘉亨家化：要约与控制权安排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本案例涉及杭州拼便宜网络科技有限公司（下称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）收购嘉亨家化（下称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关于杭州拼便宜网络科技有限公司要约收购期限届满暨股票停牌的公告，目标线索为2026年7月要约收购期限届满，交易完成，属于近期控股权并购案例。。在A股控制权收购实践中，部分要约常以较低持股比例触及控制权变更，但仅凭21%的表决权不足以单一决定公司治理方向。2026年6至7月，杭州拼便宜网络科技有限公司向嘉亨家化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300955）全体股东发起部分要约，拟收购21,268,800股（占总股本21%），每股21元，总对价约44,664.48万元，并以现金支付。收购方明确旨在取得控制权，而公开资料未披露其与原有主要股东的任何协议安排。这使得本案成为观察以少数股份推动控制权转移的绝佳样本，其核心问题在于：在无关联股东的一致行动或董事会改组承诺下，控制权的稳定性和整合前景将如何演化。</w:t>
      </w:r>
    </w:p>
    <w:p>
      <w:pPr>
        <w:spacing w:before="0" w:after="0" w:line="240" w:lineRule="auto" w:beforeLines="0" w:afterLines="0"/>
        <w:jc w:val="left"/>
        <w:ind w:firstLineChars="200"/>
      </w:pPr>
      <w:r>
        <w:rPr>
          <w:rFonts w:ascii="Times New Roman" w:hAnsi="Times New Roman" w:eastAsia="仿宋" w:cs="Times New Roman"/>
          <w:b/>
          <w:sz w:val="28"/>
        </w:rPr>
        <w:t>一、交易发起：分散股权下的部分要约路径</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鉴于本次要约收购结果需进一步确认，根据《深圳证券交易所创业板股票上市规则》《深圳证券交易所上市公司自律监管指引第6号——停复牌》《深圳证券交易所创业板上市公司自律监管指南第1号——业务办理》等有关规定，经公司向深圳证券交易所申请， 公司股票（股票简称：嘉亨家化，股票代码：300955）自2026年7月24日（星期五）上午开市起停牌，并将在要约收购结果公告日开市起复牌。 - 嘉亨家化股份有限公司董事会2026年7月23日 - 21元/股，要约收购股份数量21,268,800股，占公司总股本的21. - 本次要约收购期限为2026年6月24日至2026年7月23日；时间线包括2026年6月23日：披露要约收购报告书；2026年6月24日至2026年7月23日：要约收购期限；关键数字包括要约价格：21元/股；要约收购股份数量：21,268,800股；占公司总股本比例：21%；股票代码：300955。</w:t>
      </w:r>
    </w:p>
    <w:p>
      <w:pPr>
        <w:spacing w:before="0" w:after="0" w:line="240" w:lineRule="auto" w:beforeLines="0" w:afterLines="0"/>
        <w:jc w:val="both"/>
        <w:ind w:firstLineChars="200"/>
      </w:pPr>
      <w:r>
        <w:rPr>
          <w:rFonts w:ascii="Times New Roman" w:hAnsi="Times New Roman" w:eastAsia="仿宋" w:cs="Times New Roman"/>
          <w:b w:val="0"/>
          <w:sz w:val="28"/>
        </w:rPr>
        <w:t>嘉亨家化主营日化产品容器及OEM/ODM业务，行业毛利率趋薄，产能竞争加剧，但公告未提供其近期财务数据或具体经营压力。交易前，杭州拼便宜未持有上市公司股份，也未与特定股东签署股权转让协议，而是直接以部分要约方式介入，暗示上市公司股权结构可能相对分散，或者原有控股方无意接受协商转让。要约收购报告书于2026年6月23日披露，收购期限自6月24日至7月23日，收购股份数量精准设定为占总股本的21%，恰好低于《上市公司收购管理办法》规定的30%强制全面要约触发线，从而以最低监管成本发起收购。本次收购全部以现金支付，要约价格21元/股，对应总对价约44,664.48万元，资金来源未在公告中披露。</w:t>
      </w:r>
    </w:p>
    <w:p>
      <w:pPr>
        <w:spacing w:before="0" w:after="0" w:line="240" w:lineRule="auto" w:beforeLines="0" w:afterLines="0"/>
        <w:jc w:val="both"/>
        <w:ind w:firstLineChars="200"/>
      </w:pPr>
      <w:r>
        <w:rPr>
          <w:rFonts w:ascii="Times New Roman" w:hAnsi="Times New Roman" w:eastAsia="仿宋" w:cs="Times New Roman"/>
          <w:b w:val="0"/>
          <w:sz w:val="28"/>
        </w:rPr>
        <w:t>在控制权目标下，杭州拼便宜选择部分要约而非协议转让，意味着它希望以公开、透明的方式向全体股东发出统一要约，同时避免与个别大股东进行私下谈判。这一路径对股权分散、无显著控股方的上市公司尤为有效：收购方只需获得足够多的预受，即可一举成为第一大股东，并以此为支点推动董事会改组。然而，单纯的21%持股难以单独决定股东大会投票结果，收购方能否实际控制公司，高度依赖要约完成后的表决权格局。从要约期限届满后公司紧急停牌并强调</w:t>
      </w:r>
      <w:r>
        <w:rPr>
          <w:rFonts w:ascii="Times New Roman" w:hAnsi="Times New Roman" w:eastAsia="Times New Roman" w:cs="Times New Roman"/>
          <w:b w:val="0"/>
          <w:sz w:val="28"/>
        </w:rPr>
        <w:t>“</w:t>
      </w:r>
      <w:r>
        <w:rPr>
          <w:rFonts w:ascii="Times New Roman" w:hAnsi="Times New Roman" w:eastAsia="仿宋" w:cs="Times New Roman"/>
          <w:b w:val="0"/>
          <w:sz w:val="28"/>
        </w:rPr>
        <w:t>结果需进一步确认</w:t>
      </w:r>
      <w:r>
        <w:rPr>
          <w:rFonts w:ascii="Times New Roman" w:hAnsi="Times New Roman" w:eastAsia="Times New Roman" w:cs="Times New Roman"/>
          <w:b w:val="0"/>
          <w:sz w:val="28"/>
        </w:rPr>
        <w:t>”</w:t>
      </w:r>
      <w:r>
        <w:rPr>
          <w:rFonts w:ascii="Times New Roman" w:hAnsi="Times New Roman" w:eastAsia="仿宋" w:cs="Times New Roman"/>
          <w:b w:val="0"/>
          <w:sz w:val="28"/>
        </w:rPr>
        <w:t>来看，预受股份数量很可能远超21,268,800股的上限，收购方将以比例配售方式完成收购，这反而可能通过稀释其他股东持股而增强控制权的集中度，令后续的董事会调整更具可行性。</w:t>
      </w:r>
    </w:p>
    <w:p>
      <w:pPr>
        <w:spacing w:before="0" w:after="0" w:line="240" w:lineRule="auto" w:beforeLines="0" w:afterLines="0"/>
        <w:jc w:val="left"/>
        <w:ind w:firstLineChars="200"/>
      </w:pPr>
      <w:r>
        <w:rPr>
          <w:rFonts w:ascii="Times New Roman" w:hAnsi="Times New Roman" w:eastAsia="仿宋" w:cs="Times New Roman"/>
          <w:b/>
          <w:sz w:val="28"/>
        </w:rPr>
        <w:t>二、控制权建构：法律机制与未明示的安排</w:t>
      </w:r>
    </w:p>
    <w:p>
      <w:pPr>
        <w:spacing w:before="0" w:after="0" w:line="240" w:lineRule="auto" w:beforeLines="0" w:afterLines="0"/>
        <w:jc w:val="both"/>
        <w:ind w:firstLineChars="200"/>
      </w:pPr>
      <w:r>
        <w:rPr>
          <w:rFonts w:ascii="Times New Roman" w:hAnsi="Times New Roman" w:eastAsia="仿宋" w:cs="Times New Roman"/>
          <w:b w:val="0"/>
          <w:sz w:val="28"/>
        </w:rPr>
        <w:t>根据《上市公司收购管理办法》，控制权的取得不以持股超过30%为绝对标准，只要收购人可支配的表决权足以对股东大会决议产生重大影响，即被视为拥有控制权。在嘉亨家化总股本约1.0128亿股的前提下，21%的持股约率可使杭州拼便宜成为第一大股东，但若前几大股东持股合计超过21%且不与之合作，则控制权将难以落地。因此，本次收购成功与否的关键在于收购方是否已在要约之外与。</w:t>
      </w:r>
    </w:p>
    <w:p>
      <w:pPr>
        <w:spacing w:before="0" w:after="0" w:line="240" w:lineRule="auto" w:beforeLines="0" w:afterLines="0"/>
        <w:jc w:val="both"/>
        <w:ind w:firstLineChars="200"/>
      </w:pPr>
      <w:r>
        <w:rPr>
          <w:rFonts w:ascii="Times New Roman" w:hAnsi="Times New Roman" w:eastAsia="仿宋" w:cs="Times New Roman"/>
          <w:b w:val="0"/>
          <w:sz w:val="28"/>
        </w:rPr>
        <w:t>深交所《创业板股票上市规则》对控制权的认定采用实质标准，包括能否决定公司重大经营决策、能否控制董事会多数席位等。要约收购报告书未披露后续董事会改组计划，监管层极可能在要约结果公布后对此发起问询，要求收购方说明其与主要股东之间是否存在未披露的协议，以及保持控制权稳定的具体措施。若收购方无法给出清晰可执行的方案，控制权的认定将存在争议，甚至可能影响要约的合规性。</w:t>
      </w:r>
    </w:p>
    <w:p>
      <w:pPr>
        <w:spacing w:before="0" w:after="0" w:line="240" w:lineRule="auto" w:beforeLines="0" w:afterLines="0"/>
        <w:jc w:val="left"/>
        <w:ind w:firstLineChars="200"/>
      </w:pPr>
      <w:r>
        <w:rPr>
          <w:rFonts w:ascii="Times New Roman" w:hAnsi="Times New Roman" w:eastAsia="仿宋" w:cs="Times New Roman"/>
          <w:b/>
          <w:sz w:val="28"/>
        </w:rPr>
        <w:t>三、跨界并购的产业逻辑与现实鸿沟</w:t>
      </w:r>
    </w:p>
    <w:p>
      <w:pPr>
        <w:spacing w:before="0" w:after="0" w:line="240" w:lineRule="auto" w:beforeLines="0" w:afterLines="0"/>
        <w:jc w:val="both"/>
        <w:ind w:firstLineChars="200"/>
      </w:pPr>
      <w:r>
        <w:rPr>
          <w:rFonts w:ascii="Times New Roman" w:hAnsi="Times New Roman" w:eastAsia="仿宋" w:cs="Times New Roman"/>
          <w:b w:val="0"/>
          <w:sz w:val="28"/>
        </w:rPr>
        <w:t>杭州拼便宜是一家未上市的科技公司，公开渠道几乎无从查证其主要业务和财务状况；嘉亨家化则深耕日化包装与OEM/ODM代工，客户集中于化妆品、个护品牌商。日化代工行业技术壁垒有限，竞标激烈，企业普遍面临毛利率走低和产能过剩的压力，通过规模扩张或技术升级提升附加值已成为行业共识。从理论上讲，若收购方具备供应链数字化能力或C2M平台资源，或可为嘉亨家化带来渠道效率改。</w:t>
      </w:r>
    </w:p>
    <w:p>
      <w:pPr>
        <w:spacing w:before="0" w:after="0" w:line="240" w:lineRule="auto" w:beforeLines="0" w:afterLines="0"/>
        <w:jc w:val="both"/>
        <w:ind w:firstLineChars="200"/>
      </w:pPr>
      <w:r>
        <w:rPr>
          <w:rFonts w:ascii="Times New Roman" w:hAnsi="Times New Roman" w:eastAsia="仿宋" w:cs="Times New Roman"/>
          <w:b w:val="0"/>
          <w:sz w:val="28"/>
        </w:rPr>
        <w:t>更现实地看，控制权转移后双方若缺乏可量化的业务整合计划，嘉亨家化约率仍需依靠原有经营惯性运转，杭州拼便宜则面临管理输出能力不足的挑战，最终令这宗交易沦为一项被动财务投资。在并购方法论上，制造+网络科技类并购的成功率普遍不高，原因在于二者在运营节奏、决策逻辑和资本投入强度上存在本质差异。本案中，杭州拼便宜需支付的44,664.48万元现金对价，接近嘉亨家化停牌。</w:t>
      </w:r>
    </w:p>
    <w:p>
      <w:pPr>
        <w:spacing w:before="0" w:after="0" w:line="240" w:lineRule="auto" w:beforeLines="0" w:afterLines="0"/>
        <w:jc w:val="left"/>
        <w:ind w:firstLineChars="200"/>
      </w:pPr>
      <w:r>
        <w:rPr>
          <w:rFonts w:ascii="Times New Roman" w:hAnsi="Times New Roman" w:eastAsia="仿宋" w:cs="Times New Roman"/>
          <w:b/>
          <w:sz w:val="28"/>
        </w:rPr>
        <w:t>四、要约定价、预受博弈与股东风险权衡</w:t>
      </w:r>
    </w:p>
    <w:p>
      <w:pPr>
        <w:spacing w:before="0" w:after="0" w:line="240" w:lineRule="auto" w:beforeLines="0" w:afterLines="0"/>
        <w:jc w:val="both"/>
        <w:ind w:firstLineChars="200"/>
      </w:pPr>
      <w:r>
        <w:rPr>
          <w:rFonts w:ascii="Times New Roman" w:hAnsi="Times New Roman" w:eastAsia="仿宋" w:cs="Times New Roman"/>
          <w:b w:val="0"/>
          <w:sz w:val="28"/>
        </w:rPr>
        <w:t>要约价格21元/股对应收购总市价约44,664.48万元，因嘉亨家化停牌前二级市场交易价格未公开，无法计算要约溢价率，但从停牌公告</w:t>
      </w:r>
      <w:r>
        <w:rPr>
          <w:rFonts w:ascii="Times New Roman" w:hAnsi="Times New Roman" w:eastAsia="Times New Roman" w:cs="Times New Roman"/>
          <w:b w:val="0"/>
          <w:sz w:val="28"/>
        </w:rPr>
        <w:t>“</w:t>
      </w:r>
      <w:r>
        <w:rPr>
          <w:rFonts w:ascii="Times New Roman" w:hAnsi="Times New Roman" w:eastAsia="仿宋" w:cs="Times New Roman"/>
          <w:b w:val="0"/>
          <w:sz w:val="28"/>
        </w:rPr>
        <w:t>结果需进一步确认</w:t>
      </w:r>
      <w:r>
        <w:rPr>
          <w:rFonts w:ascii="Times New Roman" w:hAnsi="Times New Roman" w:eastAsia="Times New Roman" w:cs="Times New Roman"/>
          <w:b w:val="0"/>
          <w:sz w:val="28"/>
        </w:rPr>
        <w:t>”</w:t>
      </w:r>
      <w:r>
        <w:rPr>
          <w:rFonts w:ascii="Times New Roman" w:hAnsi="Times New Roman" w:eastAsia="仿宋" w:cs="Times New Roman"/>
          <w:b w:val="0"/>
          <w:sz w:val="28"/>
        </w:rPr>
        <w:t>推断，预受股份数量极为踊跃，暗示该价格对多数股东具有吸引力。在部分要约机制下，股东可选择按比例出售部分持股并保留剩余股份，这创造了一种风险对冲可能：若控制权变更后经营改善，剩余股份将分享增值；若整合失败，则至少。</w:t>
      </w:r>
    </w:p>
    <w:p>
      <w:pPr>
        <w:spacing w:before="0" w:after="0" w:line="240" w:lineRule="auto" w:beforeLines="0" w:afterLines="0"/>
        <w:jc w:val="both"/>
        <w:ind w:firstLineChars="200"/>
      </w:pPr>
      <w:r>
        <w:rPr>
          <w:rFonts w:ascii="Times New Roman" w:hAnsi="Times New Roman" w:eastAsia="仿宋" w:cs="Times New Roman"/>
          <w:b w:val="0"/>
          <w:sz w:val="28"/>
        </w:rPr>
        <w:t>对于不接受要约的股东，其持股将被新控制人稀释至更分散状态，后续能否通过股东大会和董事会对新控制人形成有效制衡，取决于原有治理结构和其他主要股东的态度。收购方资金来源未披露，若其通过举债完成收购，未来可能推动上市公司实施高比例分红或资产重组以偿还债务，这将改变嘉亨家化的自由现金流和经营稳健性。在信息真空环境下，股东的决策既是对要约价格的静态判断，更是对控制权转。</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杭州拼便宜以21%股权向嘉亨家化发起收购，本质上是一次以部分要约包装的控制权获取尝试，其真实对价远超44,664.48万元现金支出，还包括收购方为锁定表决权而付出的前置成本以及后续整合的资本承诺。本案的方法论意义不在于提供标准化的并购操作框架，而在于它鲜明地体现了信息披露在并购决策中的轴心地位：当涉及控制权转移时，仅凭要约公告难以判断后续的治理稳定性和经营连续性，必须将股东协议、董事会安排和资金来源纳入一个统一的验证框架。</w:t>
      </w:r>
    </w:p>
    <w:p>
      <w:pPr>
        <w:spacing w:before="0" w:after="0" w:line="240" w:lineRule="auto" w:beforeLines="0" w:afterLines="0"/>
        <w:jc w:val="both"/>
        <w:ind w:firstLineChars="200"/>
      </w:pPr>
      <w:r>
        <w:rPr>
          <w:rFonts w:ascii="Times New Roman" w:hAnsi="Times New Roman" w:eastAsia="仿宋" w:cs="Times New Roman"/>
          <w:b w:val="0"/>
          <w:sz w:val="28"/>
        </w:rPr>
        <w:t>对同类交易而言，无论收购方如何设计要约比例，控制权的真正对价终将体现在投后治理和业务整合的可执行性上。嘉亨家化未来能否在杭州拼便宜的主导下完成产业升级，取决于双方能否在公开披露的边界内持续展示具体的整合行动与财务改善轨迹。部分要约收购的高效与风险并存，其成功从来不在于要约本身，而在于要约背后那些尚未完全暴露的前置安排与投后能力。</w:t>
      </w:r>
    </w:p>
    <w:p>
      <w:pPr>
        <w:spacing w:before="0" w:after="0" w:line="240" w:lineRule="auto" w:beforeLines="0" w:afterLines="0"/>
        <w:jc w:val="both"/>
        <w:ind w:firstLineChars="200"/>
      </w:pPr>
      <w:r>
        <w:rPr>
          <w:rFonts w:ascii="Times New Roman" w:hAnsi="Times New Roman" w:eastAsia="仿宋" w:cs="Times New Roman"/>
          <w:b w:val="0"/>
          <w:sz w:val="28"/>
        </w:rPr>
        <w:t>回到杭州拼便宜网络科技与嘉亨家化，本案的方法论意义不在于把交易结果写成通用并购总结，而在于把鉴于本次要约收购结果需进一步确认，根据《深圳证券交易所创业板股票上市规则》《深圳证券交易所上市公司自律监管指引第6号——停复牌》《深圳证券交易所创业板上市公司自律监管指南第1号——业务办理》等有关规定，经公司向深圳证券交易所申请， 公司股票（股票简称：嘉亨家化，股票代码：300955）自2026年7月24日（星期五）上午开市起停牌，并将在要约收购结果公告日开市起复牌。 - 嘉亨家化股份有限公司董事会2026年7月23日 - 21元/股，要约收购股份数量21,268,800股，占公司总股本的21. - 本次要约收购期限为2026年6月24日至2026年7月23日、要约价格：21元/股；要约收购股份数量：21,268,800股；占公司总股本比例：21%；股票代码：300955、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杭州拼便宜网络科技而言，关键是交割承接和整合节奏能否与已披露安排匹配；对嘉亨家化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