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赵铭及百年勤书收购爱丽家居：控制权与治理安排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本案例涉及赵铭及百年勤书（下称</w:t>
      </w:r>
      <w:r>
        <w:rPr>
          <w:rFonts w:ascii="Times New Roman" w:hAnsi="Times New Roman" w:eastAsia="Times New Roman" w:cs="Times New Roman"/>
          <w:b w:val="0"/>
          <w:sz w:val="28"/>
        </w:rPr>
        <w:t>“</w:t>
      </w:r>
      <w:r>
        <w:rPr>
          <w:rFonts w:ascii="Times New Roman" w:hAnsi="Times New Roman" w:eastAsia="仿宋" w:cs="Times New Roman"/>
          <w:b w:val="0"/>
          <w:sz w:val="28"/>
        </w:rPr>
        <w:t>赵铭及百年勤书</w:t>
      </w:r>
      <w:r>
        <w:rPr>
          <w:rFonts w:ascii="Times New Roman" w:hAnsi="Times New Roman" w:eastAsia="Times New Roman" w:cs="Times New Roman"/>
          <w:b w:val="0"/>
          <w:sz w:val="28"/>
        </w:rPr>
        <w:t>”</w:t>
      </w:r>
      <w:r>
        <w:rPr>
          <w:rFonts w:ascii="Times New Roman" w:hAnsi="Times New Roman" w:eastAsia="仿宋" w:cs="Times New Roman"/>
          <w:b w:val="0"/>
          <w:sz w:val="28"/>
        </w:rPr>
        <w:t>）收购爱丽家居（下称</w:t>
      </w:r>
      <w:r>
        <w:rPr>
          <w:rFonts w:ascii="Times New Roman" w:hAnsi="Times New Roman" w:eastAsia="Times New Roman" w:cs="Times New Roman"/>
          <w:b w:val="0"/>
          <w:sz w:val="28"/>
        </w:rPr>
        <w:t>“</w:t>
      </w:r>
      <w:r>
        <w:rPr>
          <w:rFonts w:ascii="Times New Roman" w:hAnsi="Times New Roman" w:eastAsia="仿宋" w:cs="Times New Roman"/>
          <w:b w:val="0"/>
          <w:sz w:val="28"/>
        </w:rPr>
        <w:t>爱丽家居</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爱丽家居科技股份有限公司详式权益变动报告书（受让方-赵铭及百年勤书），目标线索为2026年7月完成控股权转让，交易主体明确，属于近期典型控股权并购案例。。2026年7月，爱丽家居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爱丽家居</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爱丽家居</w:t>
      </w:r>
      <w:r>
        <w:rPr>
          <w:rFonts w:ascii="Times New Roman" w:hAnsi="Times New Roman" w:eastAsia="Times New Roman" w:cs="Times New Roman"/>
          <w:b w:val="0"/>
          <w:sz w:val="28"/>
        </w:rPr>
        <w:t>”</w:t>
      </w:r>
      <w:r>
        <w:rPr>
          <w:rFonts w:ascii="Times New Roman" w:hAnsi="Times New Roman" w:eastAsia="仿宋" w:cs="Times New Roman"/>
          <w:b w:val="0"/>
          <w:sz w:val="28"/>
        </w:rPr>
        <w:t>，603221.SH）控制权交割，提供了一则</w:t>
      </w:r>
      <w:r>
        <w:rPr>
          <w:rFonts w:ascii="Times New Roman" w:hAnsi="Times New Roman" w:eastAsia="Times New Roman" w:cs="Times New Roman"/>
          <w:b w:val="0"/>
          <w:sz w:val="28"/>
        </w:rPr>
        <w:t>“</w:t>
      </w:r>
      <w:r>
        <w:rPr>
          <w:rFonts w:ascii="Times New Roman" w:hAnsi="Times New Roman" w:eastAsia="仿宋" w:cs="Times New Roman"/>
          <w:b w:val="0"/>
          <w:sz w:val="28"/>
        </w:rPr>
        <w:t>协议转让+一致行动</w:t>
      </w:r>
      <w:r>
        <w:rPr>
          <w:rFonts w:ascii="Times New Roman" w:hAnsi="Times New Roman" w:eastAsia="Times New Roman" w:cs="Times New Roman"/>
          <w:b w:val="0"/>
          <w:sz w:val="28"/>
        </w:rPr>
        <w:t>”</w:t>
      </w:r>
      <w:r>
        <w:rPr>
          <w:rFonts w:ascii="Times New Roman" w:hAnsi="Times New Roman" w:eastAsia="仿宋" w:cs="Times New Roman"/>
          <w:b w:val="0"/>
          <w:sz w:val="28"/>
        </w:rPr>
        <w:t>取得上市公司控制权，并同步筹划资产注入的典型样本。收购方赵铭与杭州百年勤书自有资金投资合伙企业（有限合伙）（下称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百年勤书</w:t>
      </w:r>
      <w:r>
        <w:rPr>
          <w:rFonts w:ascii="Times New Roman" w:hAnsi="Times New Roman" w:eastAsia="Times New Roman" w:cs="Times New Roman"/>
          <w:b w:val="0"/>
          <w:sz w:val="28"/>
        </w:rPr>
        <w:t>”</w:t>
      </w:r>
      <w:r>
        <w:rPr>
          <w:rFonts w:ascii="Times New Roman" w:hAnsi="Times New Roman" w:eastAsia="仿宋" w:cs="Times New Roman"/>
          <w:b w:val="0"/>
          <w:sz w:val="28"/>
        </w:rPr>
        <w:t>）通过受让原控股股东张家港博华企业管理有限公司（下称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博华企管</w:t>
      </w:r>
      <w:r>
        <w:rPr>
          <w:rFonts w:ascii="Times New Roman" w:hAnsi="Times New Roman" w:eastAsia="Times New Roman" w:cs="Times New Roman"/>
          <w:b w:val="0"/>
          <w:sz w:val="28"/>
        </w:rPr>
        <w:t>”</w:t>
      </w:r>
      <w:r>
        <w:rPr>
          <w:rFonts w:ascii="Times New Roman" w:hAnsi="Times New Roman" w:eastAsia="仿宋" w:cs="Times New Roman"/>
          <w:b w:val="0"/>
          <w:sz w:val="28"/>
        </w:rPr>
        <w:t>）合计48,908,000股（占总股本20.1874%），取得控制权；同一日，上市公司即签署意向协议，拟现金收购赵铭控制的武汉欧康诺电子科技股份有限公司（下称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欧康诺</w:t>
      </w:r>
      <w:r>
        <w:rPr>
          <w:rFonts w:ascii="Times New Roman" w:hAnsi="Times New Roman" w:eastAsia="Times New Roman" w:cs="Times New Roman"/>
          <w:b w:val="0"/>
          <w:sz w:val="28"/>
        </w:rPr>
        <w:t>”</w:t>
      </w:r>
      <w:r>
        <w:rPr>
          <w:rFonts w:ascii="Times New Roman" w:hAnsi="Times New Roman" w:eastAsia="仿宋" w:cs="Times New Roman"/>
          <w:b w:val="0"/>
          <w:sz w:val="28"/>
        </w:rPr>
        <w:t>）不低于77%股权。该案的核心分析价值在于：它检验了以有限合伙作为资金平台、以长期一致行动协议锁定控制权，并将资产注入与控股权受让同步发起的一体化操作模式，而每一环节均对应着可核验的披露边界与产业逻辑考验。</w:t>
      </w:r>
    </w:p>
    <w:p>
      <w:pPr>
        <w:spacing w:before="0" w:after="0" w:line="240" w:lineRule="auto" w:beforeLines="0" w:afterLines="0"/>
        <w:jc w:val="left"/>
        <w:ind w:firstLineChars="200"/>
      </w:pPr>
      <w:r>
        <w:rPr>
          <w:rFonts w:ascii="Times New Roman" w:hAnsi="Times New Roman" w:eastAsia="仿宋" w:cs="Times New Roman"/>
          <w:b/>
          <w:sz w:val="28"/>
        </w:rPr>
        <w:t>一、交易前因：股本调整、主体设立与协议签署的紧凑节奏</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事实披露边界上，本案可引用的交易对价、估值或支付口径为其中：普通合伙人（执行事务合伙人）刘惠认缴出资3,057万元，占比20. - 有限合伙人赵铭认缴出资10,144万元，占比；时间线包括2026年7月20日：博华企管与赵铭、博华企管与百年勤书分别签署《股份转让协议》；2026年7月22日：爱丽家居披露《关于部分股权激励限制性股票回购注销实施公告》，股份注销后总股本为242,270,000股；关键数字包括上市公司总股本：242,270,000股；本次协议转让股份数：合计48,908,000股（赵铭受让36,681,000股，百年勤书受让12,227,000股），占上市公司总股本的20.1874%；百年勤书认缴出资总额：15,000万元；百年勤书合伙人结构：普通合伙人（执行事务合伙人）刘惠认缴出资3,057万元，占比20.38%；有限合伙人赵铭认缴出资10,144万元，占比67.63%。已抓取资料中的财务和经营线索为公开资料未披露。收购方、买方和并购方的购买理由需要回到2026年7月完成控股权转让，交易主体明确，属于近期典型控股权并购案例。</w:t>
      </w:r>
    </w:p>
    <w:p>
      <w:pPr>
        <w:spacing w:before="0" w:after="0" w:line="240" w:lineRule="auto" w:beforeLines="0" w:afterLines="0"/>
        <w:jc w:val="both"/>
        <w:ind w:firstLineChars="200"/>
      </w:pPr>
      <w:r>
        <w:rPr>
          <w:rFonts w:ascii="Times New Roman" w:hAnsi="Times New Roman" w:eastAsia="仿宋" w:cs="Times New Roman"/>
          <w:b w:val="0"/>
          <w:sz w:val="28"/>
        </w:rPr>
        <w:t>本次交易前，爱丽家居控股股东为博华企管，上市公司主营PVC塑料地板，经营状态及产业位置未在权益变动报告书中详述。2026年7月22日，公司披露股权激励限制性股票回购注销实施公告，总股本调整为242,270,000股，为后续股份转让确立了精确的计算基础。仅两天前，即2026年7月20日，博华企管已分别与赵铭、百年勤书签署《股份转让协议》，约定赵铭受让36,681,000股，百年勤书受让12,227,000股，合计48,908,000股。百年勤书于2026年7月17日成立，距签约仅三日，认缴出资总额15,000万元，且于同一日上市公司与赵铭等签署《股权收购意向协议》，拟收购欧康诺股权。这一时间线表明，收购方在极短时间内完成了主体搭建、资金募集、协议签署与资产注入意向披露的整套动作。</w:t>
      </w:r>
    </w:p>
    <w:p>
      <w:pPr>
        <w:spacing w:before="0" w:after="0" w:line="240" w:lineRule="auto" w:beforeLines="0" w:afterLines="0"/>
        <w:jc w:val="both"/>
        <w:ind w:firstLineChars="200"/>
      </w:pPr>
      <w:r>
        <w:rPr>
          <w:rFonts w:ascii="Times New Roman" w:hAnsi="Times New Roman" w:eastAsia="仿宋" w:cs="Times New Roman"/>
          <w:b w:val="0"/>
          <w:sz w:val="28"/>
        </w:rPr>
        <w:t>公开资料未单独披露博华企管出让控制权的商业原因，也未披露赵铭发起收购的主观目的。但从客观条款看，转让方通过协议转让一次性出清20.1874%股份，为受让方取得控制权提供了股份基础。收购方则以</w:t>
      </w:r>
      <w:r>
        <w:rPr>
          <w:rFonts w:ascii="Times New Roman" w:hAnsi="Times New Roman" w:eastAsia="Times New Roman" w:cs="Times New Roman"/>
          <w:b w:val="0"/>
          <w:sz w:val="28"/>
        </w:rPr>
        <w:t>“</w:t>
      </w:r>
      <w:r>
        <w:rPr>
          <w:rFonts w:ascii="Times New Roman" w:hAnsi="Times New Roman" w:eastAsia="仿宋" w:cs="Times New Roman"/>
          <w:b w:val="0"/>
          <w:sz w:val="28"/>
        </w:rPr>
        <w:t>取得上市公司控制权</w:t>
      </w:r>
      <w:r>
        <w:rPr>
          <w:rFonts w:ascii="Times New Roman" w:hAnsi="Times New Roman" w:eastAsia="Times New Roman" w:cs="Times New Roman"/>
          <w:b w:val="0"/>
          <w:sz w:val="28"/>
        </w:rPr>
        <w:t>”</w:t>
      </w:r>
      <w:r>
        <w:rPr>
          <w:rFonts w:ascii="Times New Roman" w:hAnsi="Times New Roman" w:eastAsia="仿宋" w:cs="Times New Roman"/>
          <w:b w:val="0"/>
          <w:sz w:val="28"/>
        </w:rPr>
        <w:t>为权益变动报告书披露的收购目的，并通过同步筹划欧康诺注入，揭示出其可能意在将已有资产证券化的整体意图。由于转让对价未披露，无法计算估值水平，但上述紧凑的发起路径表明，整个交易由收购方主动策动，并借助新设有限合伙与一致行动协议实现控制权架构。</w:t>
      </w:r>
    </w:p>
    <w:p>
      <w:pPr>
        <w:spacing w:before="0" w:after="0" w:line="240" w:lineRule="auto" w:beforeLines="0" w:afterLines="0"/>
        <w:jc w:val="left"/>
        <w:ind w:firstLineChars="200"/>
      </w:pPr>
      <w:r>
        <w:rPr>
          <w:rFonts w:ascii="Times New Roman" w:hAnsi="Times New Roman" w:eastAsia="仿宋" w:cs="Times New Roman"/>
          <w:b/>
          <w:sz w:val="28"/>
        </w:rPr>
        <w:t>二、交易结构拆解：协议转让、有限合伙出资与一致行动的三层设计</w:t>
      </w:r>
    </w:p>
    <w:p>
      <w:pPr>
        <w:spacing w:before="0" w:after="0" w:line="240" w:lineRule="auto" w:beforeLines="0" w:afterLines="0"/>
        <w:jc w:val="both"/>
        <w:ind w:firstLineChars="200"/>
      </w:pPr>
      <w:r>
        <w:rPr>
          <w:rFonts w:ascii="Times New Roman" w:hAnsi="Times New Roman" w:eastAsia="仿宋" w:cs="Times New Roman"/>
          <w:b w:val="0"/>
          <w:sz w:val="28"/>
        </w:rPr>
        <w:t>本次权益变动中，收购方通过</w:t>
      </w:r>
      <w:r>
        <w:rPr>
          <w:rFonts w:ascii="Times New Roman" w:hAnsi="Times New Roman" w:eastAsia="Times New Roman" w:cs="Times New Roman"/>
          <w:b w:val="0"/>
          <w:sz w:val="28"/>
        </w:rPr>
        <w:t>“</w:t>
      </w:r>
      <w:r>
        <w:rPr>
          <w:rFonts w:ascii="Times New Roman" w:hAnsi="Times New Roman" w:eastAsia="仿宋" w:cs="Times New Roman"/>
          <w:b w:val="0"/>
          <w:sz w:val="28"/>
        </w:rPr>
        <w:t>个人+有限合伙</w:t>
      </w:r>
      <w:r>
        <w:rPr>
          <w:rFonts w:ascii="Times New Roman" w:hAnsi="Times New Roman" w:eastAsia="Times New Roman" w:cs="Times New Roman"/>
          <w:b w:val="0"/>
          <w:sz w:val="28"/>
        </w:rPr>
        <w:t>”</w:t>
      </w:r>
      <w:r>
        <w:rPr>
          <w:rFonts w:ascii="Times New Roman" w:hAnsi="Times New Roman" w:eastAsia="仿宋" w:cs="Times New Roman"/>
          <w:b w:val="0"/>
          <w:sz w:val="28"/>
        </w:rPr>
        <w:t>联合受让，并辅以一致行动协议，构造了一个清晰的三层控制结构。第一层为股份取得方式：赵铭与百年勤书分别通过协议转让受让股份，不涉及要约收购或其他复杂程序。赵铭直接持有36,681,000股，百年勤书持有12,227,000股，合计占总股本20.1874%，成为第一大股东。第二层为有限合伙内部的设计：百年勤书共27名合。</w:t>
      </w:r>
    </w:p>
    <w:p>
      <w:pPr>
        <w:spacing w:before="0" w:after="0" w:line="240" w:lineRule="auto" w:beforeLines="0" w:afterLines="0"/>
        <w:jc w:val="both"/>
        <w:ind w:firstLineChars="200"/>
      </w:pPr>
      <w:r>
        <w:rPr>
          <w:rFonts w:ascii="Times New Roman" w:hAnsi="Times New Roman" w:eastAsia="仿宋" w:cs="Times New Roman"/>
          <w:b w:val="0"/>
          <w:sz w:val="28"/>
        </w:rPr>
        <w:t>《一致行动协议》约定，百年勤书在行使股东权利时须与赵铭保持一致，有效期至标的股份过户登记至双方名下均满48个月之日止。由此，赵铭将个人直接持股与百年勤书持股的表决权合为一体，在股东会层面形成稳定控制。该设计既利用了有限合伙的杠杆效应（赵铭以10,144万元出资撬动了百年勤书15,000万元资金池，实现股份受让），又避免了因执行事务合伙人表决权独立而可能出现的。</w:t>
      </w:r>
    </w:p>
    <w:p>
      <w:pPr>
        <w:spacing w:before="0" w:after="0" w:line="240" w:lineRule="auto" w:beforeLines="0" w:afterLines="0"/>
        <w:jc w:val="left"/>
        <w:ind w:firstLineChars="200"/>
      </w:pPr>
      <w:r>
        <w:rPr>
          <w:rFonts w:ascii="Times New Roman" w:hAnsi="Times New Roman" w:eastAsia="仿宋" w:cs="Times New Roman"/>
          <w:b/>
          <w:sz w:val="28"/>
        </w:rPr>
        <w:t>三、控制权锁定机制：四十八个月协议覆盖资产注入与整合周期</w:t>
      </w:r>
    </w:p>
    <w:p>
      <w:pPr>
        <w:spacing w:before="0" w:after="0" w:line="240" w:lineRule="auto" w:beforeLines="0" w:afterLines="0"/>
        <w:jc w:val="both"/>
        <w:ind w:firstLineChars="200"/>
      </w:pPr>
      <w:r>
        <w:rPr>
          <w:rFonts w:ascii="Times New Roman" w:hAnsi="Times New Roman" w:eastAsia="仿宋" w:cs="Times New Roman"/>
          <w:b w:val="0"/>
          <w:sz w:val="28"/>
        </w:rPr>
        <w:t>一致行动协议的有效期长达48个月，显著超越一般控股权收购中为满足权益计算而作出的短期安排。这一期限设计至少起到三重锁定效果。其一，在法律层面，它将百年勤书的表决权固化于赵铭，使信息披露义务人及其一致行动人合并持股比例达到20.1874%，从而清晰界定实际控制人，避免因后续股份变动触发要约收购义务的波动。其二，在治理层面，四年时间足以覆盖董事会改组、公司章程修。</w:t>
      </w:r>
    </w:p>
    <w:p>
      <w:pPr>
        <w:spacing w:before="0" w:after="0" w:line="240" w:lineRule="auto" w:beforeLines="0" w:afterLines="0"/>
        <w:jc w:val="both"/>
        <w:ind w:firstLineChars="200"/>
      </w:pPr>
      <w:r>
        <w:rPr>
          <w:rFonts w:ascii="Times New Roman" w:hAnsi="Times New Roman" w:eastAsia="仿宋" w:cs="Times New Roman"/>
          <w:b w:val="0"/>
          <w:sz w:val="28"/>
        </w:rPr>
        <w:t>值得注意的是，该协议并未附加常见的业绩对赌或估值调整条款，仅以表决权归集为核心。这意味着一旦百年勤书内部分歧或合伙人变动，只要一致行动协议有效，赵铭的控制力就不会被稀释。从并购方法论角度看，这种单一的、超长期限的一致行动安排，将控制权的稳定性与资产注入的推进深度绑定，减少了其他交易中因对赌失败引发的控制权变动风险，但也要求收购方在48个月内真正兑现资产注入与整合价值，否则高成本锁定的平台可能沦为负担。</w:t>
      </w:r>
    </w:p>
    <w:p>
      <w:pPr>
        <w:spacing w:before="0" w:after="0" w:line="240" w:lineRule="auto" w:beforeLines="0" w:afterLines="0"/>
        <w:jc w:val="left"/>
        <w:ind w:firstLineChars="200"/>
      </w:pPr>
      <w:r>
        <w:rPr>
          <w:rFonts w:ascii="Times New Roman" w:hAnsi="Times New Roman" w:eastAsia="仿宋" w:cs="Times New Roman"/>
          <w:b/>
          <w:sz w:val="28"/>
        </w:rPr>
        <w:t>四、资产注入的同步筹划：产业跨界、关联交易与合规门槛</w:t>
      </w:r>
    </w:p>
    <w:p>
      <w:pPr>
        <w:spacing w:before="0" w:after="0" w:line="240" w:lineRule="auto" w:beforeLines="0" w:afterLines="0"/>
        <w:jc w:val="both"/>
        <w:ind w:firstLineChars="200"/>
      </w:pPr>
      <w:r>
        <w:rPr>
          <w:rFonts w:ascii="Times New Roman" w:hAnsi="Times New Roman" w:eastAsia="仿宋" w:cs="Times New Roman"/>
          <w:b w:val="0"/>
          <w:sz w:val="28"/>
        </w:rPr>
        <w:t>与股份转让协议同日签署的《股权收购意向协议》，是本案一体化交易结构的另一半拼图。上市公司拟以现金方式收购赵铭、童树娟、安徽明德中和企业管理合伙企业（有限合伙）、安徽中和企业管理合伙企业（有限合伙）持有的欧康诺不低于77%股权。赵铭直接持有欧康诺62%以上股份并担任董事长，本次注入构成关联交易。产业跨度是本案面临的核心考验：爱丽家居主营PVC塑料地板，属于建筑。</w:t>
      </w:r>
    </w:p>
    <w:p>
      <w:pPr>
        <w:spacing w:before="0" w:after="0" w:line="240" w:lineRule="auto" w:beforeLines="0" w:afterLines="0"/>
        <w:jc w:val="both"/>
        <w:ind w:firstLineChars="200"/>
      </w:pPr>
      <w:r>
        <w:rPr>
          <w:rFonts w:ascii="Times New Roman" w:hAnsi="Times New Roman" w:eastAsia="仿宋" w:cs="Times New Roman"/>
          <w:b w:val="0"/>
          <w:sz w:val="28"/>
        </w:rPr>
        <w:t>财务影响方面，因欧康诺的财务报表、评估价值及盈利预测均未披露，无法评估交易市盈率、市净率或对上市公司资产负债结构的影响。现金收购方式将考验爱丽家居的资金储备与融资能力，若动用大额现金或增加负债，可能对原有主业造成挤压。合规层面，既然欧康诺与爱丽家居主业差异显著，交易是否触及重大资产重组标准或借壳红线，需待正式方案披露后由监管判断。此外，现金收购无需股份发行的。</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爱丽家居控制权变更案提供了一个可被拆解复用的操作工具集：以新设有限合伙企业汇集外部资金并实现出资与控制权分离，以长期一致行动协议合并表决权并锁定控制权，同时将资产注入意向与控制权受让同日披露，形成</w:t>
      </w:r>
      <w:r>
        <w:rPr>
          <w:rFonts w:ascii="Times New Roman" w:hAnsi="Times New Roman" w:eastAsia="Times New Roman" w:cs="Times New Roman"/>
          <w:b w:val="0"/>
          <w:sz w:val="28"/>
        </w:rPr>
        <w:t>“</w:t>
      </w:r>
      <w:r>
        <w:rPr>
          <w:rFonts w:ascii="Times New Roman" w:hAnsi="Times New Roman" w:eastAsia="仿宋" w:cs="Times New Roman"/>
          <w:b w:val="0"/>
          <w:sz w:val="28"/>
        </w:rPr>
        <w:t>拿壳—装资产</w:t>
      </w:r>
      <w:r>
        <w:rPr>
          <w:rFonts w:ascii="Times New Roman" w:hAnsi="Times New Roman" w:eastAsia="Times New Roman" w:cs="Times New Roman"/>
          <w:b w:val="0"/>
          <w:sz w:val="28"/>
        </w:rPr>
        <w:t>”</w:t>
      </w:r>
      <w:r>
        <w:rPr>
          <w:rFonts w:ascii="Times New Roman" w:hAnsi="Times New Roman" w:eastAsia="仿宋" w:cs="Times New Roman"/>
          <w:b w:val="0"/>
          <w:sz w:val="28"/>
        </w:rPr>
        <w:t>的无缝衔接。这一结构在技术上巧妙地绕过了一般控股权收购后资产注入的漫长等待期，将商业意图一次性展示，有助于提前锁定资产端与平台端的协同预期。</w:t>
      </w:r>
    </w:p>
    <w:p>
      <w:pPr>
        <w:spacing w:before="0" w:after="0" w:line="240" w:lineRule="auto" w:beforeLines="0" w:afterLines="0"/>
        <w:jc w:val="both"/>
        <w:ind w:firstLineChars="200"/>
      </w:pPr>
      <w:r>
        <w:rPr>
          <w:rFonts w:ascii="Times New Roman" w:hAnsi="Times New Roman" w:eastAsia="仿宋" w:cs="Times New Roman"/>
          <w:b w:val="0"/>
          <w:sz w:val="28"/>
        </w:rPr>
        <w:t>然而，该模式的成功实施必须满足两个硬约束条件。第一，估值透明度。本案中，股份转让对价及欧康诺注入估值均未公开，导致收购成本收益比、杠杆风险及注入资产质量完全不可知。若缺乏可核验的定价依据，商业合理性必然受到质疑。第二，产业逻辑可信度。当注入资产与原有主业缺乏协同基础时，监管与市场会更严格审视交易是否属于纯套利型资产证券化；此类跨界交易后续整合失败概率较高，可能加剧上市公司经营波动。对同类交易而言，在采纳类似</w:t>
      </w:r>
      <w:r>
        <w:rPr>
          <w:rFonts w:ascii="Times New Roman" w:hAnsi="Times New Roman" w:eastAsia="Times New Roman" w:cs="Times New Roman"/>
          <w:b w:val="0"/>
          <w:sz w:val="28"/>
        </w:rPr>
        <w:t>“</w:t>
      </w:r>
      <w:r>
        <w:rPr>
          <w:rFonts w:ascii="Times New Roman" w:hAnsi="Times New Roman" w:eastAsia="仿宋" w:cs="Times New Roman"/>
          <w:b w:val="0"/>
          <w:sz w:val="28"/>
        </w:rPr>
        <w:t>买壳+注入</w:t>
      </w:r>
      <w:r>
        <w:rPr>
          <w:rFonts w:ascii="Times New Roman" w:hAnsi="Times New Roman" w:eastAsia="Times New Roman" w:cs="Times New Roman"/>
          <w:b w:val="0"/>
          <w:sz w:val="28"/>
        </w:rPr>
        <w:t>”</w:t>
      </w:r>
      <w:r>
        <w:rPr>
          <w:rFonts w:ascii="Times New Roman" w:hAnsi="Times New Roman" w:eastAsia="仿宋" w:cs="Times New Roman"/>
          <w:b w:val="0"/>
          <w:sz w:val="28"/>
        </w:rPr>
        <w:t>一体化架构前，必须将标的资产的盈利能力、产业协同方案及定价公允性作为前置验证点，并将其充分披露，否则精巧的结构设计可能仅带来短暂的资本运作效果，而无法产生可持续的经营价值。</w:t>
      </w:r>
    </w:p>
    <w:p>
      <w:pPr>
        <w:spacing w:before="0" w:after="0" w:line="240" w:lineRule="auto" w:beforeLines="0" w:afterLines="0"/>
        <w:jc w:val="both"/>
        <w:ind w:firstLineChars="200"/>
      </w:pPr>
      <w:r>
        <w:rPr>
          <w:rFonts w:ascii="Times New Roman" w:hAnsi="Times New Roman" w:eastAsia="仿宋" w:cs="Times New Roman"/>
          <w:b w:val="0"/>
          <w:sz w:val="28"/>
        </w:rPr>
        <w:t>回到赵铭及百年勤书与爱丽家居，本案的方法论意义不在于把交易结果写成通用并购总结，而在于把其中：普通合伙人（执行事务合伙人）刘惠认缴出资3,057万元，占比20. - 有限合伙人赵铭认缴出资10,144万元，占比、上市公司总股本：242,270,000股；本次协议转让股份数：合计48,908,000股（赵铭受让36,681,000股，百年勤书受让12,227,000股），占上市公司总股本的20.1874%；百年勤书认缴出资总额：15,000万元；百年勤书合伙人结构：普通合伙人（执行事务合伙人）刘惠认缴出资3,057万元，占比20.38%；有限合伙人赵铭认缴出资10,144万元，占比67.63%、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赵铭及百年勤书而言，关键是交割承接和整合节奏能否与已披露安排匹配；对爱丽家居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