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渤海汽车系统收购北京北汽模塑科技有限：现金支付与业务承接</w:t>
      </w:r>
    </w:p>
    <w:p>
      <w:pPr>
        <w:spacing w:before="0" w:after="0" w:line="240" w:lineRule="auto" w:beforeLines="0" w:afterLines="0"/>
        <w:jc w:val="both"/>
        <w:ind w:firstLineChars="200"/>
      </w:pPr>
      <w:r>
        <w:rPr>
          <w:rFonts w:ascii="Times New Roman" w:hAnsi="Times New Roman" w:eastAsia="仿宋" w:cs="Times New Roman"/>
          <w:b w:val="0"/>
          <w:sz w:val="28"/>
        </w:rPr>
        <w:t>本案例涉及渤海汽车系统股份有限公司（下称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渤海汽车系统</w:t>
      </w:r>
      <w:r>
        <w:rPr>
          <w:rFonts w:ascii="Times New Roman" w:hAnsi="Times New Roman" w:eastAsia="Times New Roman" w:cs="Times New Roman"/>
          <w:b w:val="0"/>
          <w:sz w:val="28"/>
        </w:rPr>
        <w:t>”</w:t>
      </w:r>
      <w:r>
        <w:rPr>
          <w:rFonts w:ascii="Times New Roman" w:hAnsi="Times New Roman" w:eastAsia="仿宋" w:cs="Times New Roman"/>
          <w:b w:val="0"/>
          <w:sz w:val="28"/>
        </w:rPr>
        <w:t>）收购北京北汽模塑科技有限公司51%股权（下称</w:t>
      </w:r>
      <w:r>
        <w:rPr>
          <w:rFonts w:ascii="Times New Roman" w:hAnsi="Times New Roman" w:eastAsia="Times New Roman" w:cs="Times New Roman"/>
          <w:b w:val="0"/>
          <w:sz w:val="28"/>
        </w:rPr>
        <w:t>“</w:t>
      </w:r>
      <w:r>
        <w:rPr>
          <w:rFonts w:ascii="Times New Roman" w:hAnsi="Times New Roman" w:eastAsia="仿宋" w:cs="Times New Roman"/>
          <w:b w:val="0"/>
          <w:sz w:val="28"/>
        </w:rPr>
        <w:t>北京北汽模塑科技51%股权</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发行股份及支付现金购买资产并募集配套资金暨关联交易事项之标的资产过户完成的公告》，目标线索为公开资料未单独披露买方动机；公司以发行股份及支付现金方式购买标的股权并募集配套资金。在公开披露极度有限的关联并购中，交易结构往往比估值数字更能揭示交易实质。渤海汽车系统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渤海汽车</w:t>
      </w:r>
      <w:r>
        <w:rPr>
          <w:rFonts w:ascii="Times New Roman" w:hAnsi="Times New Roman" w:eastAsia="Times New Roman" w:cs="Times New Roman"/>
          <w:b w:val="0"/>
          <w:sz w:val="28"/>
        </w:rPr>
        <w:t>”</w:t>
      </w:r>
      <w:r>
        <w:rPr>
          <w:rFonts w:ascii="Times New Roman" w:hAnsi="Times New Roman" w:eastAsia="仿宋" w:cs="Times New Roman"/>
          <w:b w:val="0"/>
          <w:sz w:val="28"/>
        </w:rPr>
        <w:t>，证券代码：600960）于2026年8月14日完成对北京北汽模塑科技有限公司（下称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北汽模塑</w:t>
      </w:r>
      <w:r>
        <w:rPr>
          <w:rFonts w:ascii="Times New Roman" w:hAnsi="Times New Roman" w:eastAsia="Times New Roman" w:cs="Times New Roman"/>
          <w:b w:val="0"/>
          <w:sz w:val="28"/>
        </w:rPr>
        <w:t>”</w:t>
      </w:r>
      <w:r>
        <w:rPr>
          <w:rFonts w:ascii="Times New Roman" w:hAnsi="Times New Roman" w:eastAsia="仿宋" w:cs="Times New Roman"/>
          <w:b w:val="0"/>
          <w:sz w:val="28"/>
        </w:rPr>
        <w:t>）51%股权、海纳川安道拓（廊坊）座椅有限公司（下称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廊坊安道拓</w:t>
      </w:r>
      <w:r>
        <w:rPr>
          <w:rFonts w:ascii="Times New Roman" w:hAnsi="Times New Roman" w:eastAsia="Times New Roman" w:cs="Times New Roman"/>
          <w:b w:val="0"/>
          <w:sz w:val="28"/>
        </w:rPr>
        <w:t>”</w:t>
      </w:r>
      <w:r>
        <w:rPr>
          <w:rFonts w:ascii="Times New Roman" w:hAnsi="Times New Roman" w:eastAsia="仿宋" w:cs="Times New Roman"/>
          <w:b w:val="0"/>
          <w:sz w:val="28"/>
        </w:rPr>
        <w:t>）51%股权、廊坊莱尼线束系统有限公司（下称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廊坊莱尼线束</w:t>
      </w:r>
      <w:r>
        <w:rPr>
          <w:rFonts w:ascii="Times New Roman" w:hAnsi="Times New Roman" w:eastAsia="Times New Roman" w:cs="Times New Roman"/>
          <w:b w:val="0"/>
          <w:sz w:val="28"/>
        </w:rPr>
        <w:t>”</w:t>
      </w:r>
      <w:r>
        <w:rPr>
          <w:rFonts w:ascii="Times New Roman" w:hAnsi="Times New Roman" w:eastAsia="仿宋" w:cs="Times New Roman"/>
          <w:b w:val="0"/>
          <w:sz w:val="28"/>
        </w:rPr>
        <w:t>）50%股权的资产过户。三家公司均由北京海纳川汽车部件股份有限公司（下称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海纳川</w:t>
      </w:r>
      <w:r>
        <w:rPr>
          <w:rFonts w:ascii="Times New Roman" w:hAnsi="Times New Roman" w:eastAsia="Times New Roman" w:cs="Times New Roman"/>
          <w:b w:val="0"/>
          <w:sz w:val="28"/>
        </w:rPr>
        <w:t>”</w:t>
      </w:r>
      <w:r>
        <w:rPr>
          <w:rFonts w:ascii="Times New Roman" w:hAnsi="Times New Roman" w:eastAsia="仿宋" w:cs="Times New Roman"/>
          <w:b w:val="0"/>
          <w:sz w:val="28"/>
        </w:rPr>
        <w:t>）一次性出让，支付方式为发行股份及支付现金并募集配套资金。</w:t>
      </w:r>
    </w:p>
    <w:p>
      <w:pPr>
        <w:spacing w:before="0" w:after="0" w:line="240" w:lineRule="auto" w:beforeLines="0" w:afterLines="0"/>
        <w:jc w:val="left"/>
        <w:ind w:firstLineChars="200"/>
      </w:pPr>
      <w:r>
        <w:rPr>
          <w:rFonts w:ascii="Times New Roman" w:hAnsi="Times New Roman" w:eastAsia="仿宋" w:cs="Times New Roman"/>
          <w:b/>
          <w:sz w:val="28"/>
        </w:rPr>
        <w:t>一、披露边界与交易事实：一纸过户公告锁定的关联注入框架</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公开资料未披露具体交易金额；支付方式为发行股份及支付现金，交易标的包括北汽模塑51%股权、廊坊安道拓51%股权、廊坊莱尼线束50%股权；时间线包括2026年7月27日：中国证监会出具同意注册批复（证监许可〔2026〕1793号）；2026年7月28日：公司披露获得证监会同意注册批复公告；关键数字包括收购北。</w:t>
      </w:r>
    </w:p>
    <w:p>
      <w:pPr>
        <w:spacing w:before="0" w:after="0" w:line="240" w:lineRule="auto" w:beforeLines="0" w:afterLines="0"/>
        <w:jc w:val="both"/>
        <w:ind w:firstLineChars="200"/>
      </w:pPr>
      <w:r>
        <w:rPr>
          <w:rFonts w:ascii="Times New Roman" w:hAnsi="Times New Roman" w:eastAsia="仿宋" w:cs="Times New Roman"/>
          <w:b w:val="0"/>
          <w:sz w:val="28"/>
        </w:rPr>
        <w:t>本次交易唯一完整的公开文件为《关于发行股份及支付现金购买资产并募集配套资金暨关联交易事项之标的资产过户完成的公告》（公告编号：2026-050）。公告载明，渤海汽车拟购买海纳川持有的北汽模塑51%股权、廊坊安道拓51%股权、廊坊莱尼线束50%股权，交易构成关联交易。2026年7月27日，中国证券监督管理委员会出具同意注册批复（证监许可〔2026〕1793号）。</w:t>
      </w:r>
    </w:p>
    <w:p>
      <w:pPr>
        <w:spacing w:before="0" w:after="0" w:line="240" w:lineRule="auto" w:beforeLines="0" w:afterLines="0"/>
        <w:jc w:val="both"/>
        <w:ind w:firstLineChars="200"/>
      </w:pPr>
      <w:r>
        <w:rPr>
          <w:rFonts w:ascii="Times New Roman" w:hAnsi="Times New Roman" w:eastAsia="仿宋" w:cs="Times New Roman"/>
          <w:b w:val="0"/>
          <w:sz w:val="28"/>
        </w:rPr>
        <w:t>公告未披露交易金额、股份与现金对价的具体比例、标的公司财务数据、交易前各标的与上市公司之间的业务关系或股权结构。唯一可确认的数字是三家标的的股权比例及支付方式为发行股份及支付现金。这一披露缺失决定了分析必须依赖交易结构中的客观要素，而不能对估值或盈利前景作量化判断。从交易路径看，本次交易属于上市公司发行股份购买资产并募集配套资金，构成重大资产重组暨关联交易。</w:t>
      </w:r>
    </w:p>
    <w:p>
      <w:pPr>
        <w:spacing w:before="0" w:after="0" w:line="240" w:lineRule="auto" w:beforeLines="0" w:afterLines="0"/>
        <w:jc w:val="left"/>
        <w:ind w:firstLineChars="200"/>
      </w:pPr>
      <w:r>
        <w:rPr>
          <w:rFonts w:ascii="Times New Roman" w:hAnsi="Times New Roman" w:eastAsia="仿宋" w:cs="Times New Roman"/>
          <w:b/>
          <w:sz w:val="28"/>
        </w:rPr>
        <w:t>二、标的组合的产业位置：模塑、座椅、线束的板块拼图</w:t>
      </w:r>
    </w:p>
    <w:p>
      <w:pPr>
        <w:spacing w:before="0" w:after="0" w:line="240" w:lineRule="auto" w:beforeLines="0" w:afterLines="0"/>
        <w:jc w:val="both"/>
        <w:ind w:firstLineChars="200"/>
      </w:pPr>
      <w:r>
        <w:rPr>
          <w:rFonts w:ascii="Times New Roman" w:hAnsi="Times New Roman" w:eastAsia="仿宋" w:cs="Times New Roman"/>
          <w:b w:val="0"/>
          <w:sz w:val="28"/>
        </w:rPr>
        <w:t>三家标的公司分属汽车零部件不同细分领域。北汽模塑主营汽车模塑件，业务可能涉及内外饰或轻量化结构件；廊坊安道拓由海纳川与全球座椅供应商安道拓合资设立，业务为汽车座椅系统；廊坊莱尼线束聚焦汽车线束，属于整车电子电气架构中的核心部件。公告未披露三家公司的业务描述、客户结构或财务数据，上述产业属性仅基于公司名称及行业常识推断，不能作为定论。</w:t>
      </w:r>
    </w:p>
    <w:p>
      <w:pPr>
        <w:spacing w:before="0" w:after="0" w:line="240" w:lineRule="auto" w:beforeLines="0" w:afterLines="0"/>
        <w:jc w:val="both"/>
        <w:ind w:firstLineChars="200"/>
      </w:pPr>
      <w:r>
        <w:rPr>
          <w:rFonts w:ascii="Times New Roman" w:hAnsi="Times New Roman" w:eastAsia="仿宋" w:cs="Times New Roman"/>
          <w:b w:val="0"/>
          <w:sz w:val="28"/>
        </w:rPr>
        <w:t>海纳川一次性将三家类资产注入渤海汽车，最直接的客观效果是扩大上市公司的经营版图。模塑件、座椅和线束虽分属不同赛道，但在汽车电动化与智能化趋势下均有技术升级空间。高压线束、轻量化模塑件和智能座椅需要共享客户资源或联合研发才能产生协同效应，公告未披露任何协同安排，因此不能预设天然协同。更合理的判断是，海纳川作为集团内零部件资源整合平台，将多家合资或控股资产打包证。</w:t>
      </w:r>
    </w:p>
    <w:p>
      <w:pPr>
        <w:spacing w:before="0" w:after="0" w:line="240" w:lineRule="auto" w:beforeLines="0" w:afterLines="0"/>
        <w:jc w:val="both"/>
        <w:ind w:firstLineChars="200"/>
      </w:pPr>
      <w:r>
        <w:rPr>
          <w:rFonts w:ascii="Times New Roman" w:hAnsi="Times New Roman" w:eastAsia="仿宋" w:cs="Times New Roman"/>
          <w:b w:val="0"/>
          <w:sz w:val="28"/>
        </w:rPr>
        <w:t>从产业周期看，汽车零部件行业正在经历电动化带来的产品替代与供应链重构。线束在高压架构下价值量提升，座椅和模塑件则面临轻量化与智能化需求。但标的公司是否具备相应技术能力、客户是否向新能源切换，均无法从现有公告中验证。产业判断只能停留在潜在价值层面，不能替代对标的真实经营质量的尽调结论。</w:t>
      </w:r>
    </w:p>
    <w:p>
      <w:pPr>
        <w:spacing w:before="0" w:after="0" w:line="240" w:lineRule="auto" w:beforeLines="0" w:afterLines="0"/>
        <w:jc w:val="left"/>
        <w:ind w:firstLineChars="200"/>
      </w:pPr>
      <w:r>
        <w:rPr>
          <w:rFonts w:ascii="Times New Roman" w:hAnsi="Times New Roman" w:eastAsia="仿宋" w:cs="Times New Roman"/>
          <w:b/>
          <w:sz w:val="28"/>
        </w:rPr>
        <w:t>三、混合支付与配套融资：交易结构中的利益绑定与资金缺口</w:t>
      </w:r>
    </w:p>
    <w:p>
      <w:pPr>
        <w:spacing w:before="0" w:after="0" w:line="240" w:lineRule="auto" w:beforeLines="0" w:afterLines="0"/>
        <w:jc w:val="both"/>
        <w:ind w:firstLineChars="200"/>
      </w:pPr>
      <w:r>
        <w:rPr>
          <w:rFonts w:ascii="Times New Roman" w:hAnsi="Times New Roman" w:eastAsia="仿宋" w:cs="Times New Roman"/>
          <w:b w:val="0"/>
          <w:sz w:val="28"/>
        </w:rPr>
        <w:t>交易采用发行股份及支付现金相结合的方式，并同步募集配套资金。股份支付使海纳川成为渤海汽车股东，形成利益绑定，降低后续整合中的信息不对称和道德风险；现金对价满足卖方部分流动性需求，同时平衡上市公司股权稀释程度。配套募集资金通常用于支付现金对价、补充流动资金或投入标的运营，但公告未披露募集资金总额及用途，无法评估融资压力或资本结构影响。</w:t>
      </w:r>
    </w:p>
    <w:p>
      <w:pPr>
        <w:spacing w:before="0" w:after="0" w:line="240" w:lineRule="auto" w:beforeLines="0" w:afterLines="0"/>
        <w:jc w:val="both"/>
        <w:ind w:firstLineChars="200"/>
      </w:pPr>
      <w:r>
        <w:rPr>
          <w:rFonts w:ascii="Times New Roman" w:hAnsi="Times New Roman" w:eastAsia="仿宋" w:cs="Times New Roman"/>
          <w:b w:val="0"/>
          <w:sz w:val="28"/>
        </w:rPr>
        <w:t>发行股份将改变渤海汽车现有股东结构。海纳川作为关联方取得新增股份后，可能进一步提升持股比例或强化控制关系。公告未披露发行股份数量、定价基准日及发行价格，无法量化对每股收益或控股股东持股比例的摊薄效应。但结构上，发行股份购买资产需遵守《上市公司重大资产重组管理办法》关于发行价格不低于市场参考价90%的规定，该底线可为外部股东提供一定保护。配套融资尚未完成，现金。</w:t>
      </w:r>
    </w:p>
    <w:p>
      <w:pPr>
        <w:spacing w:before="0" w:after="0" w:line="240" w:lineRule="auto" w:beforeLines="0" w:afterLines="0"/>
        <w:jc w:val="both"/>
        <w:ind w:firstLineChars="200"/>
      </w:pPr>
      <w:r>
        <w:rPr>
          <w:rFonts w:ascii="Times New Roman" w:hAnsi="Times New Roman" w:eastAsia="仿宋" w:cs="Times New Roman"/>
          <w:b w:val="0"/>
          <w:sz w:val="28"/>
        </w:rPr>
        <w:t>此外，过渡期损益安排是公告中明确提及的合同义务。相关方需根据协议约定确定过渡期内标的资产产生的损益并执行归属约定。该条款虽未披露具体归属方向，但通常过渡期盈利归上市公司、亏损归卖方，或按持股比例承担。在标的财务数据未披露的情况下，过渡期损益可能成为交割后上市公司净资产的重要变量，需在后续定期报告中跟踪确认。</w:t>
      </w:r>
    </w:p>
    <w:p>
      <w:pPr>
        <w:spacing w:before="0" w:after="0" w:line="240" w:lineRule="auto" w:beforeLines="0" w:afterLines="0"/>
        <w:jc w:val="left"/>
        <w:ind w:firstLineChars="200"/>
      </w:pPr>
      <w:r>
        <w:rPr>
          <w:rFonts w:ascii="Times New Roman" w:hAnsi="Times New Roman" w:eastAsia="仿宋" w:cs="Times New Roman"/>
          <w:b/>
          <w:sz w:val="28"/>
        </w:rPr>
        <w:t>四、关联交易审批与过渡期损益：程序合规下的治理边界</w:t>
      </w:r>
    </w:p>
    <w:p>
      <w:pPr>
        <w:spacing w:before="0" w:after="0" w:line="240" w:lineRule="auto" w:beforeLines="0" w:afterLines="0"/>
        <w:jc w:val="both"/>
        <w:ind w:firstLineChars="200"/>
      </w:pPr>
      <w:r>
        <w:rPr>
          <w:rFonts w:ascii="Times New Roman" w:hAnsi="Times New Roman" w:eastAsia="仿宋" w:cs="Times New Roman"/>
          <w:b w:val="0"/>
          <w:sz w:val="28"/>
        </w:rPr>
        <w:t>本次交易已履行重大资产重组及关联交易所需的完整审批链条。2026年7月27日，中国证监会出具同意注册批复，是交易实施的核心前置条件。独立财务顾问中信建投证券股份有限公司出具核查意见，认为交易实施过程履行了必要的决策和审批程序，符合《公司法》《证券法》《重组管理办法》等规定。法律顾问北京市金杜律师事务所出具法律意见书，确认交易已取得必要批准和授权，《购买资产协。</w:t>
      </w:r>
    </w:p>
    <w:p>
      <w:pPr>
        <w:spacing w:before="0" w:after="0" w:line="240" w:lineRule="auto" w:beforeLines="0" w:afterLines="0"/>
        <w:jc w:val="both"/>
        <w:ind w:firstLineChars="200"/>
      </w:pPr>
      <w:r>
        <w:rPr>
          <w:rFonts w:ascii="Times New Roman" w:hAnsi="Times New Roman" w:eastAsia="仿宋" w:cs="Times New Roman"/>
          <w:b w:val="0"/>
          <w:sz w:val="28"/>
        </w:rPr>
        <w:t>过渡期损益条款是少数被明确提及的合同安排。根据公告，相关方尚需确定过渡期内标的资产产生的损益，并执行协议中关于过渡期损益归属的约定。这通常涉及评估基准日至交割日之间标的公司盈亏的分配，若约定归属上市公司，则标的在过渡期间的盈利可增厚交割后报表；若约定亏损由卖方承担，则可保护上市公司利益。公告未披露具体归属方向，但该条款本身表明交易双方已就交割前利润归属作出商。</w:t>
      </w:r>
    </w:p>
    <w:p>
      <w:pPr>
        <w:spacing w:before="0" w:after="0" w:line="240" w:lineRule="auto" w:beforeLines="0" w:afterLines="0"/>
        <w:jc w:val="left"/>
        <w:ind w:firstLineChars="200"/>
      </w:pPr>
      <w:r>
        <w:rPr>
          <w:rFonts w:ascii="Times New Roman" w:hAnsi="Times New Roman" w:eastAsia="仿宋" w:cs="Times New Roman"/>
          <w:b/>
          <w:sz w:val="28"/>
        </w:rPr>
        <w:t>五、交割后的未决事项：对价支付、股份登记与整合半径</w:t>
      </w:r>
    </w:p>
    <w:p>
      <w:pPr>
        <w:spacing w:before="0" w:after="0" w:line="240" w:lineRule="auto" w:beforeLines="0" w:afterLines="0"/>
        <w:jc w:val="both"/>
        <w:ind w:firstLineChars="200"/>
      </w:pPr>
      <w:r>
        <w:rPr>
          <w:rFonts w:ascii="Times New Roman" w:hAnsi="Times New Roman" w:eastAsia="仿宋" w:cs="Times New Roman"/>
          <w:b w:val="0"/>
          <w:sz w:val="28"/>
        </w:rPr>
        <w:t>截至2026年8月14日，三家标的资产过户已完成，但交易对价支付、新增股份登记上市及配套募集资金均未完成。上市公司尚需向海纳川支付股份对价和现金对价，并在中国证监会批复的期限内完成配套融资，同时就新增股份办理登记和上市手续。这一阶段存在三重未决风险：一是配套融资能否如期足额完成，直接影响现金对价支付及资金链；二是新增股份登记进度，若延迟可能影响海纳川作为股东。</w:t>
      </w:r>
    </w:p>
    <w:p>
      <w:pPr>
        <w:spacing w:before="0" w:after="0" w:line="240" w:lineRule="auto" w:beforeLines="0" w:afterLines="0"/>
        <w:jc w:val="both"/>
        <w:ind w:firstLineChars="200"/>
      </w:pPr>
      <w:r>
        <w:rPr>
          <w:rFonts w:ascii="Times New Roman" w:hAnsi="Times New Roman" w:eastAsia="仿宋" w:cs="Times New Roman"/>
          <w:b w:val="0"/>
          <w:sz w:val="28"/>
        </w:rPr>
        <w:t>从交割承接角度看，资产过户仅是法律确权，后续对价支付与股份登记标志着资本层面的正式闭环。渤海汽车需要在批复期限内完成配套募集资金，否则可能面临违约风险。同时，标的公司纳入合并范围后的财务并表、会计政策统一、信息系统对接等细节尚未披露，但这些都是整合阶段必须面对的标准动作。后续应跟踪上市公司定期报告中的商誉、少数股东损益及子公司业绩变化，以验证交易实际效果。</w:t>
      </w:r>
    </w:p>
    <w:p>
      <w:pPr>
        <w:spacing w:before="0" w:after="0" w:line="240" w:lineRule="auto" w:beforeLines="0" w:afterLines="0"/>
        <w:jc w:val="left"/>
        <w:ind w:firstLineChars="200"/>
      </w:pPr>
      <w:r>
        <w:rPr>
          <w:rFonts w:ascii="Times New Roman" w:hAnsi="Times New Roman" w:eastAsia="仿宋" w:cs="Times New Roman"/>
          <w:b/>
          <w:sz w:val="28"/>
        </w:rPr>
        <w:t>六、结语：现金支付与业务承接的核验方法</w:t>
      </w:r>
    </w:p>
    <w:p>
      <w:pPr>
        <w:spacing w:before="0" w:after="0" w:line="240" w:lineRule="auto" w:beforeLines="0" w:afterLines="0"/>
        <w:jc w:val="both"/>
        <w:ind w:firstLineChars="200"/>
      </w:pPr>
      <w:r>
        <w:rPr>
          <w:rFonts w:ascii="Times New Roman" w:hAnsi="Times New Roman" w:eastAsia="仿宋" w:cs="Times New Roman"/>
          <w:b w:val="0"/>
          <w:sz w:val="28"/>
        </w:rPr>
        <w:t>渤海汽车以发行股份及支付现金方式收购海纳川持有的北汽模塑、廊坊安道拓和廊坊莱尼线束三家汽车零部件公司股权，从交易形态看是一起典型的上市平台集团内同类资产整合。其核心特征在于：标的组合化，三家公司分属模塑、座椅、线束，虽未证实协同但同属汽车零部件板块；支付混合化，股份对价绑定卖方，现金对价平衡流动性，配套融资填补资金缺口；程序标准化，证监会注册批复及中介意见构成合规保护；信息极简化，公告仅披露股权比例和过户事实，未给出任何财务数据或交易金额。在公开资料严重不足的条件下，分析者不应强行填充估值或盈利情形，而应回归交易结构本身，利用股权比例、支付工具、审批程序和过渡期损益安排等客观条款还原交易属性。</w:t>
      </w:r>
    </w:p>
    <w:p>
      <w:pPr>
        <w:spacing w:before="0" w:after="0" w:line="240" w:lineRule="auto" w:beforeLines="0" w:afterLines="0"/>
        <w:jc w:val="both"/>
        <w:ind w:firstLineChars="200"/>
      </w:pPr>
      <w:r>
        <w:rPr>
          <w:rFonts w:ascii="Times New Roman" w:hAnsi="Times New Roman" w:eastAsia="仿宋" w:cs="Times New Roman"/>
          <w:b w:val="0"/>
          <w:sz w:val="28"/>
        </w:rPr>
        <w:t>本案例对同类关联资产注入具有方法论意义。对于监管者与中小股东而言，渤海汽车案例提示需关注三个薄弱环节：一是关联交易的定价依据是否充分，公告未披露评估方法或可比交易，后续需通过独立财务顾问报告补足信息；二是过渡期损益归属是否清晰，避免交割前盈亏被用作利益输送通道；三是配套融资失败情形下的备选资金安排是否明确，防止对价支付违约。渤海汽车已完成资产交割的第一步，但对价支付、股份登记与整合成效才是最终检验。该案例再次说明，在信息不完整的并购研究场景中，从交易文件已披露的条款出发构建分析框架，比依赖外部判断更接近事实。</w:t>
      </w:r>
    </w:p>
    <w:p>
      <w:pPr>
        <w:spacing w:before="0" w:after="0" w:line="240" w:lineRule="auto" w:beforeLines="0" w:afterLines="0"/>
        <w:jc w:val="both"/>
        <w:ind w:firstLineChars="200"/>
      </w:pPr>
      <w:r>
        <w:rPr>
          <w:rFonts w:ascii="Times New Roman" w:hAnsi="Times New Roman" w:eastAsia="仿宋" w:cs="Times New Roman"/>
          <w:b w:val="0"/>
          <w:sz w:val="28"/>
        </w:rPr>
        <w:t>回到渤海汽车系统与北京北汽模塑科技有限，本案的方法论意义不在于把交易结果写成通用并购总结，而在于把公开资料未披露具体交易金额；支付方式为发行股份及支付现金，交易标的包括北汽模塑51%股权、廊坊安道拓51%股权、廊坊莱尼线束50%股权、收购北汽模塑51%股权；收购廊坊安道拓51%股权；收购廊坊莱尼线束50%股权；证监会批复文号：证监许可〔2026〕1793号、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渤海汽车系统而言，关键是交割承接和整合节奏能否与已披露安排匹配；对北京北汽模塑科技有限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