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广西国控收购柳州两面针：控制权与治理安排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本案例涉及广西国控（下称</w:t>
      </w:r>
      <w:r>
        <w:rPr>
          <w:rFonts w:ascii="Times New Roman" w:hAnsi="Times New Roman" w:eastAsia="Times New Roman" w:cs="Times New Roman"/>
          <w:b w:val="0"/>
          <w:sz w:val="28"/>
        </w:rPr>
        <w:t>“</w:t>
      </w:r>
      <w:r>
        <w:rPr>
          <w:rFonts w:ascii="Times New Roman" w:hAnsi="Times New Roman" w:eastAsia="仿宋" w:cs="Times New Roman"/>
          <w:b w:val="0"/>
          <w:sz w:val="28"/>
        </w:rPr>
        <w:t>广西国控</w:t>
      </w:r>
      <w:r>
        <w:rPr>
          <w:rFonts w:ascii="Times New Roman" w:hAnsi="Times New Roman" w:eastAsia="Times New Roman" w:cs="Times New Roman"/>
          <w:b w:val="0"/>
          <w:sz w:val="28"/>
        </w:rPr>
        <w:t>”</w:t>
      </w:r>
      <w:r>
        <w:rPr>
          <w:rFonts w:ascii="Times New Roman" w:hAnsi="Times New Roman" w:eastAsia="仿宋" w:cs="Times New Roman"/>
          <w:b w:val="0"/>
          <w:sz w:val="28"/>
        </w:rPr>
        <w:t>）收购柳州两面针股份有限公司（下称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柳州两面针</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两面针关于控股股东协议转让股份完成过户登记暨控制权发生变更的公告》，目标线索为公开资料未单独披露买方战略意图；公告显示广西国控为广西壮族自治区人民政府国有资产监督管理委员会实际控制的企业，受让后直接持有公司28%股份成为控股股东，并出具了保持上市公司独立性、避免同业竞争、规范关联交易的承诺函。。2026年8月5日，柳州两面针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两面针</w:t>
      </w:r>
      <w:r>
        <w:rPr>
          <w:rFonts w:ascii="Times New Roman" w:hAnsi="Times New Roman" w:eastAsia="Times New Roman" w:cs="Times New Roman"/>
          <w:b w:val="0"/>
          <w:sz w:val="28"/>
        </w:rPr>
        <w:t>”</w:t>
      </w:r>
      <w:r>
        <w:rPr>
          <w:rFonts w:ascii="Times New Roman" w:hAnsi="Times New Roman" w:eastAsia="仿宋" w:cs="Times New Roman"/>
          <w:b w:val="0"/>
          <w:sz w:val="28"/>
        </w:rPr>
        <w:t>，股票代码：600249）公告，广西国控资本运营集团有限责任公司（下称</w:t>
      </w:r>
      <w:r>
        <w:rPr>
          <w:rFonts w:ascii="Times New Roman" w:hAnsi="Times New Roman" w:eastAsia="Times New Roman" w:cs="Times New Roman"/>
          <w:b w:val="0"/>
          <w:sz w:val="28"/>
        </w:rPr>
        <w:t>“</w:t>
      </w:r>
      <w:r>
        <w:rPr>
          <w:rFonts w:ascii="Times New Roman" w:hAnsi="Times New Roman" w:eastAsia="仿宋" w:cs="Times New Roman"/>
          <w:b w:val="0"/>
          <w:sz w:val="28"/>
        </w:rPr>
        <w:t>广西国控</w:t>
      </w:r>
      <w:r>
        <w:rPr>
          <w:rFonts w:ascii="Times New Roman" w:hAnsi="Times New Roman" w:eastAsia="Times New Roman" w:cs="Times New Roman"/>
          <w:b w:val="0"/>
          <w:sz w:val="28"/>
        </w:rPr>
        <w:t>”</w:t>
      </w:r>
      <w:r>
        <w:rPr>
          <w:rFonts w:ascii="Times New Roman" w:hAnsi="Times New Roman" w:eastAsia="仿宋" w:cs="Times New Roman"/>
          <w:b w:val="0"/>
          <w:sz w:val="28"/>
        </w:rPr>
        <w:t>）受让原控股股东等三家柳州市国资股东合计28%股份已完成过户登记，控制权正式变更。交易总价为1,228,026,800元，每股转让价格7.9742元，过户前广西国控已支付全部对价。公开资料未披露买方战略意图与卖方转让原因，但交易文件清晰呈现区市两级国资平台间上市公司控制权协议转让的标准化路径：从协议签署、两级国资委批复、反垄断审查到过户登记。本案例基于已披露公告，拆解该交易的股权结构、支付安排与治理边界。</w:t>
      </w:r>
    </w:p>
    <w:p>
      <w:pPr>
        <w:spacing w:before="0" w:after="0" w:line="240" w:lineRule="auto" w:beforeLines="0" w:afterLines="0"/>
        <w:jc w:val="left"/>
        <w:ind w:firstLineChars="200"/>
      </w:pPr>
      <w:r>
        <w:rPr>
          <w:rFonts w:ascii="Times New Roman" w:hAnsi="Times New Roman" w:eastAsia="仿宋" w:cs="Times New Roman"/>
          <w:b/>
          <w:sz w:val="28"/>
        </w:rPr>
        <w:t>一、控制权转移的结果与主体格局：从柳州市国资委到自治区国资委</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协议转让154,000,000股，占公司总股本的28%；转让价格7.9742元/股；转让总价1,228,026,800元人民币；时间线包括2026-03-31：柳州产投、柳州经投、柳州元宏与广西国控签订《股份转让协议》；2026-04-01：公司披露《关于控股股东签署&lt;股份转让协议&gt;暨控制权拟发生变更的提示性公告》（2026-017）。</w:t>
      </w:r>
    </w:p>
    <w:p>
      <w:pPr>
        <w:spacing w:before="0" w:after="0" w:line="240" w:lineRule="auto" w:beforeLines="0" w:afterLines="0"/>
        <w:jc w:val="both"/>
        <w:ind w:firstLineChars="200"/>
      </w:pPr>
      <w:r>
        <w:rPr>
          <w:rFonts w:ascii="Times New Roman" w:hAnsi="Times New Roman" w:eastAsia="仿宋" w:cs="Times New Roman"/>
          <w:b w:val="0"/>
          <w:sz w:val="28"/>
        </w:rPr>
        <w:t>2026年8月3日，柳州产投、柳州经投、柳州元宏合计向广西国控过户154,000,000股两面针股份，占公司总股本的28%，股份性质为无限售流通股。过户完成后，广西国控直接持有两面针28%股份，成为控股股东，实际控制人由柳州市国资委变更为广西壮族自治区国资委。本次交易前，柳州产投作为原控股股东持股25.46%，柳州经投持股1.99%，柳州元宏持股0.55%，三者均属柳州市国资体系。广西国控在交易前并非两面针股东，其系广西自治区国资委实际控制的企业，注册资本1,134,746万元，主营业务涵盖现代农业、健康产业、文化旅游、房地产业、食品产业的投资及管理。</w:t>
      </w:r>
    </w:p>
    <w:p>
      <w:pPr>
        <w:spacing w:before="0" w:after="0" w:line="240" w:lineRule="auto" w:beforeLines="0" w:afterLines="0"/>
        <w:jc w:val="both"/>
        <w:ind w:firstLineChars="200"/>
      </w:pPr>
      <w:r>
        <w:rPr>
          <w:rFonts w:ascii="Times New Roman" w:hAnsi="Times New Roman" w:eastAsia="仿宋" w:cs="Times New Roman"/>
          <w:b w:val="0"/>
          <w:sz w:val="28"/>
        </w:rPr>
        <w:t>两面针作为上交所上市公司，公告未披露其主营业务、产品结构及资产规模，故无法就产业位置作进一步判断。该交易并非市场化并购，而是柳州市属国资平台向自治区级国资平台的集中性股权让渡，具有明确的行政性整合特征。本次交易采用协议转让方式，转让方为柳州产投、柳州经投、柳州元宏三家，受让方为广西国控。三笔转让合计154,000,000股，占两面针总股本的28%，其中柳州产投转让140,026,896股（25.46%）、柳州经投转让10,959,167股（1.99%）、柳州元宏转让3,013,937股（0.55%）。每股转让价格统一为7.9742元，转让总价1,228,026,800元。统一价格表明受让方对三位转让方采取相同估值逻辑，未因持股比例或控制地位差异设置不同单价。</w:t>
      </w:r>
    </w:p>
    <w:p>
      <w:pPr>
        <w:spacing w:before="0" w:after="0" w:line="240" w:lineRule="auto" w:beforeLines="0" w:afterLines="0"/>
        <w:jc w:val="left"/>
        <w:ind w:firstLineChars="200"/>
      </w:pPr>
      <w:r>
        <w:rPr>
          <w:rFonts w:ascii="Times New Roman" w:hAnsi="Times New Roman" w:eastAsia="仿宋" w:cs="Times New Roman"/>
          <w:b/>
          <w:sz w:val="28"/>
        </w:rPr>
        <w:t>二、协议转让的对价结构与支付安排：统一价格、分笔转让与全额预付</w:t>
      </w:r>
    </w:p>
    <w:p>
      <w:pPr>
        <w:spacing w:before="0" w:after="0" w:line="240" w:lineRule="auto" w:beforeLines="0" w:afterLines="0"/>
        <w:jc w:val="both"/>
        <w:ind w:firstLineChars="200"/>
      </w:pPr>
      <w:r>
        <w:rPr>
          <w:rFonts w:ascii="Times New Roman" w:hAnsi="Times New Roman" w:eastAsia="仿宋" w:cs="Times New Roman"/>
          <w:b w:val="0"/>
          <w:sz w:val="28"/>
        </w:rPr>
        <w:t>公告特别强调，</w:t>
      </w:r>
      <w:r>
        <w:rPr>
          <w:rFonts w:ascii="Times New Roman" w:hAnsi="Times New Roman" w:eastAsia="Times New Roman" w:cs="Times New Roman"/>
          <w:b w:val="0"/>
          <w:sz w:val="28"/>
        </w:rPr>
        <w:t>“</w:t>
      </w:r>
      <w:r>
        <w:rPr>
          <w:rFonts w:ascii="Times New Roman" w:hAnsi="Times New Roman" w:eastAsia="仿宋" w:cs="Times New Roman"/>
          <w:b w:val="0"/>
          <w:sz w:val="28"/>
        </w:rPr>
        <w:t>此次协议转让标的股份过户前，广西国控已按照协议的相关约定，完成了本次股份转让涉及的全部标的股份转让价款的支付。</w:t>
      </w:r>
      <w:r>
        <w:rPr>
          <w:rFonts w:ascii="Times New Roman" w:hAnsi="Times New Roman" w:eastAsia="Times New Roman" w:cs="Times New Roman"/>
          <w:b w:val="0"/>
          <w:sz w:val="28"/>
        </w:rPr>
        <w:t>”</w:t>
      </w:r>
      <w:r>
        <w:rPr>
          <w:rFonts w:ascii="Times New Roman" w:hAnsi="Times New Roman" w:eastAsia="仿宋" w:cs="Times New Roman"/>
          <w:b w:val="0"/>
          <w:sz w:val="28"/>
        </w:rPr>
        <w:t>这一安排对交易确定性具有实质意义：对卖方而言，控制权变动中的对价支付风险被彻底消除；对买方而言，全款预付锁定了股份交割义务，避免因后续审批或市场波动导致交易不确定性。此外，双方于2026年7月15日签署《股份转让协议》之补充协议，但。</w:t>
      </w:r>
    </w:p>
    <w:p>
      <w:pPr>
        <w:spacing w:before="0" w:after="0" w:line="240" w:lineRule="auto" w:beforeLines="0" w:afterLines="0"/>
        <w:jc w:val="both"/>
        <w:ind w:firstLineChars="200"/>
      </w:pPr>
      <w:r>
        <w:rPr>
          <w:rFonts w:ascii="Times New Roman" w:hAnsi="Times New Roman" w:eastAsia="仿宋" w:cs="Times New Roman"/>
          <w:b w:val="0"/>
          <w:sz w:val="28"/>
        </w:rPr>
        <w:t>从财务影响看，本次交易总价12.28亿元为现金支付，广西国控注册资本1,134,746万元，约占其注册资本的10.8%，显示其具备相应的资金实力。公告未披露资金来源，但强调过户前已全额支付，说明资金已实际到位，不存在分期支付或托管安排。在控制权转让中，全额预付款通常意味着买方拥有较强的资金调度能力，且对交易完成具有高度确定性。对于两面针而言，该笔现金对价不涉。</w:t>
      </w:r>
    </w:p>
    <w:p>
      <w:pPr>
        <w:spacing w:before="0" w:after="0" w:line="240" w:lineRule="auto" w:beforeLines="0" w:afterLines="0"/>
        <w:jc w:val="both"/>
        <w:ind w:firstLineChars="200"/>
      </w:pPr>
      <w:r>
        <w:rPr>
          <w:rFonts w:ascii="Times New Roman" w:hAnsi="Times New Roman" w:eastAsia="仿宋" w:cs="Times New Roman"/>
          <w:b w:val="0"/>
          <w:sz w:val="28"/>
        </w:rPr>
        <w:t>三笔转让合并计算总价款与公告一致。分笔转让的原因在于三位转让方原本各自持有不同比例的股份，且均为独立法人，需要分别签署协议、分别过户。但统一价格意味着广西国控未对不同股东设置差异化对价，这在国资整合中较为常见，体现了公平性原则。此外，28%的持股比例使广西国控成为单一最大股东，但未超过30%，未触及强制要约收购义务，交易结构较为简洁。</w:t>
      </w:r>
    </w:p>
    <w:p>
      <w:pPr>
        <w:spacing w:before="0" w:after="0" w:line="240" w:lineRule="auto" w:beforeLines="0" w:afterLines="0"/>
        <w:jc w:val="left"/>
        <w:ind w:firstLineChars="200"/>
      </w:pPr>
      <w:r>
        <w:rPr>
          <w:rFonts w:ascii="Times New Roman" w:hAnsi="Times New Roman" w:eastAsia="仿宋" w:cs="Times New Roman"/>
          <w:b/>
          <w:sz w:val="28"/>
        </w:rPr>
        <w:t>三、合规审批链条：两级国资批复、反垄断审查与交易所确认的时间推进</w:t>
      </w:r>
    </w:p>
    <w:p>
      <w:pPr>
        <w:spacing w:before="0" w:after="0" w:line="240" w:lineRule="auto" w:beforeLines="0" w:afterLines="0"/>
        <w:jc w:val="both"/>
        <w:ind w:firstLineChars="200"/>
      </w:pPr>
      <w:r>
        <w:rPr>
          <w:rFonts w:ascii="Times New Roman" w:hAnsi="Times New Roman" w:eastAsia="仿宋" w:cs="Times New Roman"/>
          <w:b w:val="0"/>
          <w:sz w:val="28"/>
        </w:rPr>
        <w:t>本次交易从2026年3月31日签约到8月3日过户，历时约四个月，其间依次完成地方国资审批、经营者集中反垄断审查和证券交易所合规确认。2026年4月30日，两面针披露收到广西自治区国资委及柳州市国资委的批复，表明区市两级国资监管部门均已认可该等国有股权转让方案。2026年6月10日，公司披露取得国家市场监督管理总局出具的《经营者集中反垄断审查不实施进一步审查决。</w:t>
      </w:r>
    </w:p>
    <w:p>
      <w:pPr>
        <w:spacing w:before="0" w:after="0" w:line="240" w:lineRule="auto" w:beforeLines="0" w:afterLines="0"/>
        <w:jc w:val="both"/>
        <w:ind w:firstLineChars="200"/>
      </w:pPr>
      <w:r>
        <w:rPr>
          <w:rFonts w:ascii="Times New Roman" w:hAnsi="Times New Roman" w:eastAsia="仿宋" w:cs="Times New Roman"/>
          <w:b w:val="0"/>
          <w:sz w:val="28"/>
        </w:rPr>
        <w:t>国有上市公司控制权转移涉及不同层级国资监管的衔接：柳州市国资委作为原实际控制人所在层级，广西自治区国资委作为受让方所在层级，两级批复缺一不可，体现了国有资产分级监管体制下的事先审批要求。同时，上海证券交易所出具合规性确认意见，则是证券监管层面对协议转让合规性的形式把关。这一链条的完整性对同类交易具有示范意义：国资控制权转让不能仅依赖协议效力，必须逐项落实国资批复、反垄断审查和交易所确认，否则无法完成过户登记。</w:t>
      </w:r>
    </w:p>
    <w:p>
      <w:pPr>
        <w:spacing w:before="0" w:after="0" w:line="240" w:lineRule="auto" w:beforeLines="0" w:afterLines="0"/>
        <w:jc w:val="both"/>
        <w:ind w:firstLineChars="200"/>
      </w:pPr>
      <w:r>
        <w:rPr>
          <w:rFonts w:ascii="Times New Roman" w:hAnsi="Times New Roman" w:eastAsia="仿宋" w:cs="Times New Roman"/>
          <w:b w:val="0"/>
          <w:sz w:val="28"/>
        </w:rPr>
        <w:t>公开资料未披露交易发起的具体过程，但通过已披露的推进节奏可判断，交易各方在签约前已对审批路径有所预判：提示性公告发布后一个月内取得国资批复，再一个月内取得反垄断审查决定，为后续补充协议和过户预留了充分时间。这种节奏控制体现了国有股权转让项目对合规周期的高度敏感。</w:t>
      </w:r>
    </w:p>
    <w:p>
      <w:pPr>
        <w:spacing w:before="0" w:after="0" w:line="240" w:lineRule="auto" w:beforeLines="0" w:afterLines="0"/>
        <w:jc w:val="left"/>
        <w:ind w:firstLineChars="200"/>
      </w:pPr>
      <w:r>
        <w:rPr>
          <w:rFonts w:ascii="Times New Roman" w:hAnsi="Times New Roman" w:eastAsia="仿宋" w:cs="Times New Roman"/>
          <w:b/>
          <w:sz w:val="28"/>
        </w:rPr>
        <w:t>四、治理承接与信息披露边界：三项承诺函与未披露的战略意图</w:t>
      </w:r>
    </w:p>
    <w:p>
      <w:pPr>
        <w:spacing w:before="0" w:after="0" w:line="240" w:lineRule="auto" w:beforeLines="0" w:afterLines="0"/>
        <w:jc w:val="both"/>
        <w:ind w:firstLineChars="200"/>
      </w:pPr>
      <w:r>
        <w:rPr>
          <w:rFonts w:ascii="Times New Roman" w:hAnsi="Times New Roman" w:eastAsia="仿宋" w:cs="Times New Roman"/>
          <w:b w:val="0"/>
          <w:sz w:val="28"/>
        </w:rPr>
        <w:t>广西国控作为新控股股东，出具了《关于保持上市公司独立性的承诺函》《关于避免同业竞争的承诺函》《关于规范与两面针关联交易的承诺函》。三项承诺分别对应公司治理中的独立性、同业竞争和关联交易三大核心问题，公告明确表示</w:t>
      </w:r>
      <w:r>
        <w:rPr>
          <w:rFonts w:ascii="Times New Roman" w:hAnsi="Times New Roman" w:eastAsia="Times New Roman" w:cs="Times New Roman"/>
          <w:b w:val="0"/>
          <w:sz w:val="28"/>
        </w:rPr>
        <w:t>“</w:t>
      </w:r>
      <w:r>
        <w:rPr>
          <w:rFonts w:ascii="Times New Roman" w:hAnsi="Times New Roman" w:eastAsia="仿宋" w:cs="Times New Roman"/>
          <w:b w:val="0"/>
          <w:sz w:val="28"/>
        </w:rPr>
        <w:t>本次权益变动不会对公司的正常生产经营产生影响，不会影响公司独立性，不存在损害公司及中小股东利益的情形</w:t>
      </w:r>
      <w:r>
        <w:rPr>
          <w:rFonts w:ascii="Times New Roman" w:hAnsi="Times New Roman" w:eastAsia="Times New Roman" w:cs="Times New Roman"/>
          <w:b w:val="0"/>
          <w:sz w:val="28"/>
        </w:rPr>
        <w:t>”</w:t>
      </w:r>
      <w:r>
        <w:rPr>
          <w:rFonts w:ascii="Times New Roman" w:hAnsi="Times New Roman" w:eastAsia="仿宋" w:cs="Times New Roman"/>
          <w:b w:val="0"/>
          <w:sz w:val="28"/>
        </w:rPr>
        <w:t>。此类承诺在控制权变更交易中属于常规但必要的治理约束，其实际约束力取决于后续执行和监管问询。</w:t>
      </w:r>
    </w:p>
    <w:p>
      <w:pPr>
        <w:spacing w:before="0" w:after="0" w:line="240" w:lineRule="auto" w:beforeLines="0" w:afterLines="0"/>
        <w:jc w:val="both"/>
        <w:ind w:firstLineChars="200"/>
      </w:pPr>
      <w:r>
        <w:rPr>
          <w:rFonts w:ascii="Times New Roman" w:hAnsi="Times New Roman" w:eastAsia="仿宋" w:cs="Times New Roman"/>
          <w:b w:val="0"/>
          <w:sz w:val="28"/>
        </w:rPr>
        <w:t>从产业层面看，广西国控的主营业务覆盖多个领域，与两面针可能存在潜在的业务关联，但公告未披露任何产业协同或整合计划，也未说明两面针所处的具体行业、客户资源及竞争地位。两面针的公司名称和柳州地域特征通常与地方特色产业相关联，但公告并未提供产业信息，因此无法判断本次控制权转移是否服务于特定产业战略。信息披露边界同样值得关注：公告未披露广西国控的收购战略意图、柳州产。</w:t>
      </w:r>
    </w:p>
    <w:p>
      <w:pPr>
        <w:spacing w:before="0" w:after="0" w:line="240" w:lineRule="auto" w:beforeLines="0" w:afterLines="0"/>
        <w:jc w:val="left"/>
        <w:ind w:firstLineChars="200"/>
      </w:pPr>
      <w:r>
        <w:rPr>
          <w:rFonts w:ascii="Times New Roman" w:hAnsi="Times New Roman" w:eastAsia="仿宋" w:cs="Times New Roman"/>
          <w:b/>
          <w:sz w:val="28"/>
        </w:rPr>
        <w:t>五、结语：控制权与治理安排的核验方法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广西国控以12.28亿元现金受让柳州产投、柳州经投、柳州元宏合计持有的两面针28%股份，每股7.9742元，过户前已全额支付对价，完成了从柳州市国资委到广西自治区国资委的控制权转移。该交易未附业绩承诺或资产置换，以清晰的持股安排、统一价格和全额预付实现了确定性交割，体现了国资平台间协议转让的标准化特征。</w:t>
      </w:r>
    </w:p>
    <w:p>
      <w:pPr>
        <w:spacing w:before="0" w:after="0" w:line="240" w:lineRule="auto" w:beforeLines="0" w:afterLines="0"/>
        <w:jc w:val="both"/>
        <w:ind w:firstLineChars="200"/>
      </w:pPr>
      <w:r>
        <w:rPr>
          <w:rFonts w:ascii="Times New Roman" w:hAnsi="Times New Roman" w:eastAsia="仿宋" w:cs="Times New Roman"/>
          <w:b w:val="0"/>
          <w:sz w:val="28"/>
        </w:rPr>
        <w:t>对同类交易的方法论意义在于：第一，统一价格的分笔协议转让能够覆盖多个卖方并保持交易对价的一致性；第二，过户前支付全部对价是降低卖方风险、锁定交割义务的有效安排；第三，国资审批与反垄断审查必须作为前置条件逐项落实，交易时间表应围绕合规周期设计；第四，受让方出具的三项承诺函构成控制权变更后的治理底线，但承诺函的实际效果需依赖后续信息披露和监管约束。</w:t>
      </w:r>
    </w:p>
    <w:p>
      <w:pPr>
        <w:spacing w:before="0" w:after="0" w:line="240" w:lineRule="auto" w:beforeLines="0" w:afterLines="0"/>
        <w:jc w:val="both"/>
        <w:ind w:firstLineChars="200"/>
      </w:pPr>
      <w:r>
        <w:rPr>
          <w:rFonts w:ascii="Times New Roman" w:hAnsi="Times New Roman" w:eastAsia="仿宋" w:cs="Times New Roman"/>
          <w:b w:val="0"/>
          <w:sz w:val="28"/>
        </w:rPr>
        <w:t>尽管公开资料未披露两面针的财务和经营状况、买方的产业整合意图以及补充协议的具体内容，但本案展示了在有限披露条件下，通过交易文件还原国资控制权转移的机制逻辑。对并购研究者而言，尊重披露边界、不判断动机，同时紧扣交易结构、对价支付和合规程序，是分析此类国资股权变动案例的可靠路径。</w:t>
      </w:r>
    </w:p>
    <w:p>
      <w:pPr>
        <w:spacing w:before="0" w:after="0" w:line="240" w:lineRule="auto" w:beforeLines="0" w:afterLines="0"/>
        <w:jc w:val="both"/>
        <w:ind w:firstLineChars="200"/>
      </w:pPr>
      <w:r>
        <w:rPr>
          <w:rFonts w:ascii="Times New Roman" w:hAnsi="Times New Roman" w:eastAsia="仿宋" w:cs="Times New Roman"/>
          <w:b w:val="0"/>
          <w:sz w:val="28"/>
        </w:rPr>
        <w:t>回到广西国控与柳州两面针，本案的方法论意义不在于把交易结果写成通用并购总结，而在于把协议转让154,000,000股，占公司总股本的28%；转让价格7.9742元/股；转让总价1,228,026,800元人民币、154,000,000股：过户股份数量，占公司总股本的28%；140,026,896股：柳州产投转让股份，占总股本25.46%；10,959,167股：柳州经投转让股份，占总股本1.99%；3,013,937股：柳州元宏转让股份，占总股本0.55%、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广西国控而言，关键是交割承接和整合节奏能否与已披露安排匹配；对柳州两面针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