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上海悦驰无疆收购中科通达9.92%股：要约与控制权安排</w:t>
      </w:r>
    </w:p>
    <w:p>
      <w:pPr>
        <w:spacing w:before="0" w:after="0" w:line="240" w:lineRule="auto" w:beforeLines="0" w:afterLines="0"/>
        <w:jc w:val="both"/>
        <w:ind w:firstLineChars="200"/>
      </w:pPr>
      <w:r>
        <w:rPr>
          <w:rFonts w:ascii="Times New Roman" w:hAnsi="Times New Roman" w:eastAsia="仿宋" w:cs="Times New Roman"/>
          <w:b w:val="0"/>
          <w:sz w:val="28"/>
        </w:rPr>
        <w:t>本案例涉及上海悦驰无疆（下称</w:t>
      </w:r>
      <w:r>
        <w:rPr>
          <w:rFonts w:ascii="Times New Roman" w:hAnsi="Times New Roman" w:eastAsia="Times New Roman" w:cs="Times New Roman"/>
          <w:b w:val="0"/>
          <w:sz w:val="28"/>
        </w:rPr>
        <w:t>“</w:t>
      </w:r>
      <w:r>
        <w:rPr>
          <w:rFonts w:ascii="Times New Roman" w:hAnsi="Times New Roman" w:eastAsia="仿宋" w:cs="Times New Roman"/>
          <w:b w:val="0"/>
          <w:sz w:val="28"/>
        </w:rPr>
        <w:t>上海悦驰无疆</w:t>
      </w:r>
      <w:r>
        <w:rPr>
          <w:rFonts w:ascii="Times New Roman" w:hAnsi="Times New Roman" w:eastAsia="Times New Roman" w:cs="Times New Roman"/>
          <w:b w:val="0"/>
          <w:sz w:val="28"/>
        </w:rPr>
        <w:t>”</w:t>
      </w:r>
      <w:r>
        <w:rPr>
          <w:rFonts w:ascii="Times New Roman" w:hAnsi="Times New Roman" w:eastAsia="仿宋" w:cs="Times New Roman"/>
          <w:b w:val="0"/>
          <w:sz w:val="28"/>
        </w:rPr>
        <w:t>）收购中科通达9.92%股份（下称</w:t>
      </w:r>
      <w:r>
        <w:rPr>
          <w:rFonts w:ascii="Times New Roman" w:hAnsi="Times New Roman" w:eastAsia="Times New Roman" w:cs="Times New Roman"/>
          <w:b w:val="0"/>
          <w:sz w:val="28"/>
        </w:rPr>
        <w:t>“</w:t>
      </w:r>
      <w:r>
        <w:rPr>
          <w:rFonts w:ascii="Times New Roman" w:hAnsi="Times New Roman" w:eastAsia="仿宋" w:cs="Times New Roman"/>
          <w:b w:val="0"/>
          <w:sz w:val="28"/>
        </w:rPr>
        <w:t>中科通达9.92%股份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控股股东、实际控制人及其一致行动人协议转让部分股份过户完成的公告》，目标线索为证券代码：688038证券简称：中科通达公告编号：2026-019武汉中科通达高新技术股份有限公司关于控股股东、实际控制人及其一致行动人协议转让部分股份过户完成的公告本公司董事会、全体董事及相关股东保证本公告内容不存在任何虚假记载、 误导性陈述或者重大遗漏，并对其内容的真实性、准确性和完整性承担法律责任。；重要内容提示：  武汉中科通达高新技术股份有限公司。</w:t>
      </w:r>
    </w:p>
    <w:p>
      <w:pPr>
        <w:spacing w:before="0" w:after="0" w:line="240" w:lineRule="auto" w:beforeLines="0" w:afterLines="0"/>
        <w:jc w:val="left"/>
        <w:ind w:firstLineChars="200"/>
      </w:pPr>
      <w:r>
        <w:rPr>
          <w:rFonts w:ascii="Times New Roman" w:hAnsi="Times New Roman" w:eastAsia="仿宋" w:cs="Times New Roman"/>
          <w:b/>
          <w:sz w:val="28"/>
        </w:rPr>
        <w:t>一、交易前股权结构与协议转让的客观推进路径</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人民币218,012,890.20元（每股18.89元，合计11,541,180股，占9.92%）；披露的每股价格为18.89元/股；时间线包括2026年6月8日，转让方与受让方共同签订《股份转让协议》；2026年8月5日，本次协议转让完成股份过户登记；关键数字包括转让股份数量：11,541,180股；占；中科通达为上海证券交易所科创板上市公司。交易前，公司控股股东为自然人王开学、王剑峰，二人为一致行动人；武汉信联永合高科技投资合伙企业（有限合伙）和武汉泽诚永合科技投资合伙企业（有限合伙）亦与控股股东构成一致行动关系，四方合称</w:t>
      </w:r>
      <w:r>
        <w:rPr>
          <w:rFonts w:ascii="Times New Roman" w:hAnsi="Times New Roman" w:eastAsia="Times New Roman" w:cs="Times New Roman"/>
          <w:b w:val="0"/>
          <w:sz w:val="28"/>
        </w:rPr>
        <w:t>“</w:t>
      </w:r>
      <w:r>
        <w:rPr>
          <w:rFonts w:ascii="Times New Roman" w:hAnsi="Times New Roman" w:eastAsia="仿宋" w:cs="Times New Roman"/>
          <w:b w:val="0"/>
          <w:sz w:val="28"/>
        </w:rPr>
        <w:t>转让方</w:t>
      </w:r>
      <w:r>
        <w:rPr>
          <w:rFonts w:ascii="Times New Roman" w:hAnsi="Times New Roman" w:eastAsia="Times New Roman" w:cs="Times New Roman"/>
          <w:b w:val="0"/>
          <w:sz w:val="28"/>
        </w:rPr>
        <w:t>”</w:t>
      </w:r>
      <w:r>
        <w:rPr>
          <w:rFonts w:ascii="Times New Roman" w:hAnsi="Times New Roman" w:eastAsia="仿宋" w:cs="Times New Roman"/>
          <w:b w:val="0"/>
          <w:sz w:val="28"/>
        </w:rPr>
        <w:t>。公告披露，王开学过户前持有19,710,417股，尽管未披露其持股比例，但按本次转让11,541,180股占总股本9.92%。</w:t>
      </w:r>
    </w:p>
    <w:p>
      <w:pPr>
        <w:spacing w:before="0" w:after="0" w:line="240" w:lineRule="auto" w:beforeLines="0" w:afterLines="0"/>
        <w:jc w:val="both"/>
        <w:ind w:firstLineChars="200"/>
      </w:pPr>
      <w:r>
        <w:rPr>
          <w:rFonts w:ascii="Times New Roman" w:hAnsi="Times New Roman" w:eastAsia="仿宋" w:cs="Times New Roman"/>
          <w:b w:val="0"/>
          <w:sz w:val="28"/>
        </w:rPr>
        <w:t>2026年6月8日，转让方与上海悦驰无疆共同签订《股份转让协议》，拟以协议转让方式向受让方转让合计11,541,180股无限售流通股。受让方按约定完成过户登记前的前期价款支付，交易取得上海证券交易所合规性确认后，于2026年8月5日在中国证券登记结算有限责任公司完成过户登记，8月7日公司发布过户完成公告。整个流程由转让方与受让方直接协商发起，未经过二级市场交；公开资料未披露转让方的具体转让意图或受让方的投资目的。但从已披露的条款看，转让方通过协议转让一次性向特定对象让渡9.92%股份，在不丧失控制权的情况下获得现金对价；受让方则以现金218,012,890.20元取得接近10%的持股，成为具有披露义务的重要股东。这种安排客观上实现了股权结构的边际调整，同时避免了二级市场减持可能带来的价格冲击，也避免了控制权转移的复杂性。</w:t>
      </w:r>
    </w:p>
    <w:p>
      <w:pPr>
        <w:spacing w:before="0" w:after="0" w:line="240" w:lineRule="auto" w:beforeLines="0" w:afterLines="0"/>
        <w:jc w:val="left"/>
        <w:ind w:firstLineChars="200"/>
      </w:pPr>
      <w:r>
        <w:rPr>
          <w:rFonts w:ascii="Times New Roman" w:hAnsi="Times New Roman" w:eastAsia="仿宋" w:cs="Times New Roman"/>
          <w:b/>
          <w:sz w:val="28"/>
        </w:rPr>
        <w:t>二、9.92%比例设计与18.89元定价：协议转让的临界点控制</w:t>
      </w:r>
    </w:p>
    <w:p>
      <w:pPr>
        <w:spacing w:before="0" w:after="0" w:line="240" w:lineRule="auto" w:beforeLines="0" w:afterLines="0"/>
        <w:jc w:val="both"/>
        <w:ind w:firstLineChars="200"/>
      </w:pPr>
      <w:r>
        <w:rPr>
          <w:rFonts w:ascii="Times New Roman" w:hAnsi="Times New Roman" w:eastAsia="仿宋" w:cs="Times New Roman"/>
          <w:b w:val="0"/>
          <w:sz w:val="28"/>
        </w:rPr>
        <w:t>9.92%的转让比例具有明显的监管临界意义。该比例高于5%，使上海悦驰无疆跨越了持股5%的权益变动披露门槛，成为需要履行持续信息披露义务的重要股东；同时显著低于30%的要约收购触发线，确保本次转让不会引发强制全面要约，从而维持控制权结构的稳定。从转让方角度，合计转让9.92%后，控股股东及一致行动人仍掌握公司控制权，公告虽未披露转让后合计持股比例，但强调控制。</w:t>
      </w:r>
    </w:p>
    <w:p>
      <w:pPr>
        <w:spacing w:before="0" w:after="0" w:line="240" w:lineRule="auto" w:beforeLines="0" w:afterLines="0"/>
        <w:jc w:val="both"/>
        <w:ind w:firstLineChars="200"/>
      </w:pPr>
      <w:r>
        <w:rPr>
          <w:rFonts w:ascii="Times New Roman" w:hAnsi="Times New Roman" w:eastAsia="仿宋" w:cs="Times New Roman"/>
          <w:b w:val="0"/>
          <w:sz w:val="28"/>
        </w:rPr>
        <w:t>每股18.89元的定价与总价款218,012,890.20元，公告未提供签约日或过户日前后公司股票的市场价格，因此无法直接判断溢折价水平。按转让价款与股权比例推算，公司整体对应估值约为220,000万元，该数字仅反映本次协议对价的隐含估值，不代表二级市场市值。在缺乏市场价格参照的情况下，协议转让价格通常由双方基于公司基本面、流动性折价及谈判地位协商确定。本案。</w:t>
      </w:r>
    </w:p>
    <w:p>
      <w:pPr>
        <w:spacing w:before="0" w:after="0" w:line="240" w:lineRule="auto" w:beforeLines="0" w:afterLines="0"/>
        <w:jc w:val="both"/>
        <w:ind w:firstLineChars="200"/>
      </w:pPr>
      <w:r>
        <w:rPr>
          <w:rFonts w:ascii="Times New Roman" w:hAnsi="Times New Roman" w:eastAsia="仿宋" w:cs="Times New Roman"/>
          <w:b w:val="0"/>
          <w:sz w:val="28"/>
        </w:rPr>
        <w:t>支付安排采用分阶段模式：受让方已完成过户登记前的前期价款支付，并需在过户后支付剩余股份转让价款。这一设计降低了交易对手风险——转让方在收到前期价款后配合办理过户，受让方则确保取得股份所有权后才支付剩余对价，平衡了双方的履约顾虑。分阶段付款在协议转让中并不少见，尤其在标的股份比例较大、对价金额较高时，能够有效防止过户前违约或过户后拒付尾款。</w:t>
      </w:r>
    </w:p>
    <w:p>
      <w:pPr>
        <w:spacing w:before="0" w:after="0" w:line="240" w:lineRule="auto" w:beforeLines="0" w:afterLines="0"/>
        <w:jc w:val="left"/>
        <w:ind w:firstLineChars="200"/>
      </w:pPr>
      <w:r>
        <w:rPr>
          <w:rFonts w:ascii="Times New Roman" w:hAnsi="Times New Roman" w:eastAsia="仿宋" w:cs="Times New Roman"/>
          <w:b/>
          <w:sz w:val="28"/>
        </w:rPr>
        <w:t>三、财务影响、交割承接与24个月锁定承诺的治理边界</w:t>
      </w:r>
    </w:p>
    <w:p>
      <w:pPr>
        <w:spacing w:before="0" w:after="0" w:line="240" w:lineRule="auto" w:beforeLines="0" w:afterLines="0"/>
        <w:jc w:val="both"/>
        <w:ind w:firstLineChars="200"/>
      </w:pPr>
      <w:r>
        <w:rPr>
          <w:rFonts w:ascii="Times New Roman" w:hAnsi="Times New Roman" w:eastAsia="仿宋" w:cs="Times New Roman"/>
          <w:b w:val="0"/>
          <w:sz w:val="28"/>
        </w:rPr>
        <w:t>从财务影响看，上海悦驰无疆形成一笔初始成本为218,012,890.20元的长期股权投资。因持股比例9.92%且公告未披露其是否派驻董事或具备重大影响，该投资后续可能按公允价值计量或采用权益法核算，具体取决于受让方是否对中科通达施加重大影响。对转让方而言，部分股份的转让将确认投资收益或资本利得，金额取决于其原始持股成本。对上市公司中科通达本身，本次交易为股东。</w:t>
      </w:r>
    </w:p>
    <w:p>
      <w:pPr>
        <w:spacing w:before="0" w:after="0" w:line="240" w:lineRule="auto" w:beforeLines="0" w:afterLines="0"/>
        <w:jc w:val="both"/>
        <w:ind w:firstLineChars="200"/>
      </w:pPr>
      <w:r>
        <w:rPr>
          <w:rFonts w:ascii="Times New Roman" w:hAnsi="Times New Roman" w:eastAsia="仿宋" w:cs="Times New Roman"/>
          <w:b w:val="0"/>
          <w:sz w:val="28"/>
        </w:rPr>
        <w:t>交割承接方面，交易先后取得上海证券交易所合规性确认和中国证券登记结算有限责任公司的过户登记确认。前期公告《关于控股股东、实际控制人及其一致行动人协议转让部分股份暨权益变动的提示性公告》（公告编号2026-016）虽未提供具体内容，但已为本次过户完成公告预留了披露衔接。过户完成后，上海悦驰无疆持有9.92%股份，正式成为持股5%以上股东，需遵守《证券法》及交易所关于大股东减持、短线交易等规则。</w:t>
      </w:r>
    </w:p>
    <w:p>
      <w:pPr>
        <w:spacing w:before="0" w:after="0" w:line="240" w:lineRule="auto" w:beforeLines="0" w:afterLines="0"/>
        <w:jc w:val="both"/>
        <w:ind w:firstLineChars="200"/>
      </w:pPr>
      <w:r>
        <w:rPr>
          <w:rFonts w:ascii="Times New Roman" w:hAnsi="Times New Roman" w:eastAsia="仿宋" w:cs="Times New Roman"/>
          <w:b w:val="0"/>
          <w:sz w:val="28"/>
        </w:rPr>
        <w:t>受让方主动承诺自过户登记之日起24个月内不以任何方式减持本次取得的股份，超出法定锁定期要求，向市场传递了中期持股的稳定性信号，降低了新增流通盘对二级市场的潜在压力。公告明确表示不会对公司治理结构产生重大影响，且未提及受让方获得董事会席位或其他治理性权利，说明受让方虽为重要股东，但并未介入公司日常经营，控制权仍由原控股股东掌握。</w:t>
      </w:r>
    </w:p>
    <w:p>
      <w:pPr>
        <w:spacing w:before="0" w:after="0" w:line="240" w:lineRule="auto" w:beforeLines="0" w:afterLines="0"/>
        <w:jc w:val="left"/>
        <w:ind w:firstLineChars="200"/>
      </w:pPr>
      <w:r>
        <w:rPr>
          <w:rFonts w:ascii="Times New Roman" w:hAnsi="Times New Roman" w:eastAsia="仿宋" w:cs="Times New Roman"/>
          <w:b/>
          <w:sz w:val="28"/>
        </w:rPr>
        <w:t>四、PE入局科创板少数股权：投资逻辑与披露边界的平衡</w:t>
      </w:r>
    </w:p>
    <w:p>
      <w:pPr>
        <w:spacing w:before="0" w:after="0" w:line="240" w:lineRule="auto" w:beforeLines="0" w:afterLines="0"/>
        <w:jc w:val="both"/>
        <w:ind w:firstLineChars="200"/>
      </w:pPr>
      <w:r>
        <w:rPr>
          <w:rFonts w:ascii="Times New Roman" w:hAnsi="Times New Roman" w:eastAsia="仿宋" w:cs="Times New Roman"/>
          <w:b w:val="0"/>
          <w:sz w:val="28"/>
        </w:rPr>
        <w:t>上海悦驰无疆为有限合伙企业，从组织形式和交易特征看，属于市场化财务投资者。公开资料未披露其合伙人结构、资金来源或投资目的，亦未披露是否与中科通达或其控股股东存在关联关系或其他安排。但受让9.92%股份并承诺24个月不减持，显示其中期持股意愿，而非短期套利。在</w:t>
      </w:r>
      <w:r>
        <w:rPr>
          <w:rFonts w:ascii="Times New Roman" w:hAnsi="Times New Roman" w:eastAsia="Times New Roman" w:cs="Times New Roman"/>
          <w:b w:val="0"/>
          <w:sz w:val="28"/>
        </w:rPr>
        <w:t>“</w:t>
      </w:r>
      <w:r>
        <w:rPr>
          <w:rFonts w:ascii="Times New Roman" w:hAnsi="Times New Roman" w:eastAsia="仿宋" w:cs="Times New Roman"/>
          <w:b w:val="0"/>
          <w:sz w:val="28"/>
        </w:rPr>
        <w:t>上市公司+PE</w:t>
      </w:r>
      <w:r>
        <w:rPr>
          <w:rFonts w:ascii="Times New Roman" w:hAnsi="Times New Roman" w:eastAsia="Times New Roman" w:cs="Times New Roman"/>
          <w:b w:val="0"/>
          <w:sz w:val="28"/>
        </w:rPr>
        <w:t>”</w:t>
      </w:r>
      <w:r>
        <w:rPr>
          <w:rFonts w:ascii="Times New Roman" w:hAnsi="Times New Roman" w:eastAsia="仿宋" w:cs="Times New Roman"/>
          <w:b w:val="0"/>
          <w:sz w:val="28"/>
        </w:rPr>
        <w:t>的少数股权投资中，此类比例通常不足以取得控制权，却足以使投资方进入核心股东名单，便于其跟踪公司经营并可能寻求产业合作机会。</w:t>
      </w:r>
    </w:p>
    <w:p>
      <w:pPr>
        <w:spacing w:before="0" w:after="0" w:line="240" w:lineRule="auto" w:beforeLines="0" w:afterLines="0"/>
        <w:jc w:val="both"/>
        <w:ind w:firstLineChars="200"/>
      </w:pPr>
      <w:r>
        <w:rPr>
          <w:rFonts w:ascii="Times New Roman" w:hAnsi="Times New Roman" w:eastAsia="仿宋" w:cs="Times New Roman"/>
          <w:b w:val="0"/>
          <w:sz w:val="28"/>
        </w:rPr>
        <w:t>中科通达作为科创板挂牌企业，名称中的</w:t>
      </w:r>
      <w:r>
        <w:rPr>
          <w:rFonts w:ascii="Times New Roman" w:hAnsi="Times New Roman" w:eastAsia="Times New Roman" w:cs="Times New Roman"/>
          <w:b w:val="0"/>
          <w:sz w:val="28"/>
        </w:rPr>
        <w:t>“</w:t>
      </w:r>
      <w:r>
        <w:rPr>
          <w:rFonts w:ascii="Times New Roman" w:hAnsi="Times New Roman" w:eastAsia="仿宋" w:cs="Times New Roman"/>
          <w:b w:val="0"/>
          <w:sz w:val="28"/>
        </w:rPr>
        <w:t>高新技术</w:t>
      </w:r>
      <w:r>
        <w:rPr>
          <w:rFonts w:ascii="Times New Roman" w:hAnsi="Times New Roman" w:eastAsia="Times New Roman" w:cs="Times New Roman"/>
          <w:b w:val="0"/>
          <w:sz w:val="28"/>
        </w:rPr>
        <w:t>”</w:t>
      </w:r>
      <w:r>
        <w:rPr>
          <w:rFonts w:ascii="Times New Roman" w:hAnsi="Times New Roman" w:eastAsia="仿宋" w:cs="Times New Roman"/>
          <w:b w:val="0"/>
          <w:sz w:val="28"/>
        </w:rPr>
        <w:t>与板块定位均指向其技术属性，但公告未披露具体业务构成、财务指标或客户情况，因此无法对其产业位置作进一步判断。PE选择科创板少数股权标的，通常看重公司的技术稀缺性、成长空间或产业链协同潜力，但本案未披露任何相关安排。分析必须严格限定在已披露信息范围内：上海悦驰无疆以现金受让股份，成为5%以上股东，并接受24个月锁。</w:t>
      </w:r>
    </w:p>
    <w:p>
      <w:pPr>
        <w:spacing w:before="0" w:after="0" w:line="240" w:lineRule="auto" w:beforeLines="0" w:afterLines="0"/>
        <w:jc w:val="both"/>
        <w:ind w:firstLineChars="200"/>
      </w:pPr>
      <w:r>
        <w:rPr>
          <w:rFonts w:ascii="Times New Roman" w:hAnsi="Times New Roman" w:eastAsia="仿宋" w:cs="Times New Roman"/>
          <w:b w:val="0"/>
          <w:sz w:val="28"/>
        </w:rPr>
        <w:t>从交易结构看，协议转让方式使双方能够绕过公开市场，直接确定价格和交割条件，尤其适合引入具有明确意愿的长期投资者。同时，9.92%的比例处于5%披露线与30%要约线之间，既保证了受让方的重要股东地位，又避免了控制权争夺的复杂性。这种结构在上市公司引入战略或财务投资者时具有一定代表性，但其有效性依赖于锁定期承诺的刚性约束和分阶段付款的履约保障。</w:t>
      </w:r>
    </w:p>
    <w:p>
      <w:pPr>
        <w:spacing w:before="0" w:after="0" w:line="240" w:lineRule="auto" w:beforeLines="0" w:afterLines="0"/>
        <w:jc w:val="left"/>
        <w:ind w:firstLineChars="200"/>
      </w:pPr>
      <w:r>
        <w:rPr>
          <w:rFonts w:ascii="Times New Roman" w:hAnsi="Times New Roman" w:eastAsia="仿宋" w:cs="Times New Roman"/>
          <w:b/>
          <w:sz w:val="28"/>
        </w:rPr>
        <w:t>五、结语：要约与控制权安排的核验方法</w:t>
      </w:r>
    </w:p>
    <w:p>
      <w:pPr>
        <w:spacing w:before="0" w:after="0" w:line="240" w:lineRule="auto" w:beforeLines="0" w:afterLines="0"/>
        <w:jc w:val="both"/>
        <w:ind w:firstLineChars="200"/>
      </w:pPr>
      <w:r>
        <w:rPr>
          <w:rFonts w:ascii="Times New Roman" w:hAnsi="Times New Roman" w:eastAsia="仿宋" w:cs="Times New Roman"/>
          <w:b w:val="0"/>
          <w:sz w:val="28"/>
        </w:rPr>
        <w:t>本案的核心事实是：中科通达控股股东及一致行动人以218,012,890.20元对价向上海悦驰无疆转让11,541,180股，占公司总股本9.92%；交易于2026年6月8日签约，2026年8月5日完成过户；上海悦驰无疆成为持股5%以上股东并承诺24个月不减持；全程不涉及要约收购和关联交易，控制权保持稳定。公开资料未披露交易双方的主观动机，但已披露的条款表明，该交易是一次在严格监管边界内进行的少数股权优化调整。</w:t>
      </w:r>
    </w:p>
    <w:p>
      <w:pPr>
        <w:spacing w:before="0" w:after="0" w:line="240" w:lineRule="auto" w:beforeLines="0" w:afterLines="0"/>
        <w:jc w:val="both"/>
        <w:ind w:firstLineChars="200"/>
      </w:pPr>
      <w:r>
        <w:rPr>
          <w:rFonts w:ascii="Times New Roman" w:hAnsi="Times New Roman" w:eastAsia="仿宋" w:cs="Times New Roman"/>
          <w:b w:val="0"/>
          <w:sz w:val="28"/>
        </w:rPr>
        <w:t>对同类</w:t>
      </w:r>
      <w:r>
        <w:rPr>
          <w:rFonts w:ascii="Times New Roman" w:hAnsi="Times New Roman" w:eastAsia="Times New Roman" w:cs="Times New Roman"/>
          <w:b w:val="0"/>
          <w:sz w:val="28"/>
        </w:rPr>
        <w:t>“</w:t>
      </w:r>
      <w:r>
        <w:rPr>
          <w:rFonts w:ascii="Times New Roman" w:hAnsi="Times New Roman" w:eastAsia="仿宋" w:cs="Times New Roman"/>
          <w:b w:val="0"/>
          <w:sz w:val="28"/>
        </w:rPr>
        <w:t>上市公司+PE</w:t>
      </w:r>
      <w:r>
        <w:rPr>
          <w:rFonts w:ascii="Times New Roman" w:hAnsi="Times New Roman" w:eastAsia="Times New Roman" w:cs="Times New Roman"/>
          <w:b w:val="0"/>
          <w:sz w:val="28"/>
        </w:rPr>
        <w:t>”</w:t>
      </w:r>
      <w:r>
        <w:rPr>
          <w:rFonts w:ascii="Times New Roman" w:hAnsi="Times New Roman" w:eastAsia="仿宋" w:cs="Times New Roman"/>
          <w:b w:val="0"/>
          <w:sz w:val="28"/>
        </w:rPr>
        <w:t>的少数股权协议转让，本案的方法论意义在于三点：其一，比例设计需同时满足重要股东披露线（5%）与避免强制要约（30%以下），本案选择9.92%精准落于该区间；其二，分阶段支付安排应将过户与对价支付绑定，降低对手方风险；其三，受让方自愿锁定24个月，不仅稳定市场预期，也体现其财务投资而非控制权收购的定位。这些条款并非独立存在，而是围绕</w:t>
      </w:r>
      <w:r>
        <w:rPr>
          <w:rFonts w:ascii="Times New Roman" w:hAnsi="Times New Roman" w:eastAsia="Times New Roman" w:cs="Times New Roman"/>
          <w:b w:val="0"/>
          <w:sz w:val="28"/>
        </w:rPr>
        <w:t>“</w:t>
      </w:r>
      <w:r>
        <w:rPr>
          <w:rFonts w:ascii="Times New Roman" w:hAnsi="Times New Roman" w:eastAsia="仿宋" w:cs="Times New Roman"/>
          <w:b w:val="0"/>
          <w:sz w:val="28"/>
        </w:rPr>
        <w:t>控制权不变</w:t>
      </w:r>
      <w:r>
        <w:rPr>
          <w:rFonts w:ascii="Times New Roman" w:hAnsi="Times New Roman" w:eastAsia="Times New Roman" w:cs="Times New Roman"/>
          <w:b w:val="0"/>
          <w:sz w:val="28"/>
        </w:rPr>
        <w:t>”</w:t>
      </w:r>
      <w:r>
        <w:rPr>
          <w:rFonts w:ascii="Times New Roman" w:hAnsi="Times New Roman" w:eastAsia="仿宋" w:cs="Times New Roman"/>
          <w:b w:val="0"/>
          <w:sz w:val="28"/>
        </w:rPr>
        <w:t>这一核心目标形成的结构性匹配。</w:t>
      </w:r>
    </w:p>
    <w:p>
      <w:pPr>
        <w:spacing w:before="0" w:after="0" w:line="240" w:lineRule="auto" w:beforeLines="0" w:afterLines="0"/>
        <w:jc w:val="both"/>
        <w:ind w:firstLineChars="200"/>
      </w:pPr>
      <w:r>
        <w:rPr>
          <w:rFonts w:ascii="Times New Roman" w:hAnsi="Times New Roman" w:eastAsia="仿宋" w:cs="Times New Roman"/>
          <w:b w:val="0"/>
          <w:sz w:val="28"/>
        </w:rPr>
        <w:t>后续跟踪需关注受让方是否实际履行锁定承诺、是否寻求治理参与以及公司经营是否发生重大变化。对于此类交易，并购前应核验受让方资金来源真实性、锁定期承诺的法律约束力及信息披露充分性；交割后应持续验证股权结构稳定性与治理边界是否与公告一致。本案的启示不在于通用的整合口号，而在于将218,012,890.20元对价、9.92%比例、24个月锁定期与控制权不变的条款，放在同一披露链条中理解其结构性匹配。</w:t>
      </w:r>
    </w:p>
    <w:p>
      <w:pPr>
        <w:spacing w:before="0" w:after="0" w:line="240" w:lineRule="auto" w:beforeLines="0" w:afterLines="0"/>
        <w:jc w:val="both"/>
        <w:ind w:firstLineChars="200"/>
      </w:pPr>
      <w:r>
        <w:rPr>
          <w:rFonts w:ascii="Times New Roman" w:hAnsi="Times New Roman" w:eastAsia="仿宋" w:cs="Times New Roman"/>
          <w:b w:val="0"/>
          <w:sz w:val="28"/>
        </w:rPr>
        <w:t>回到上海悦驰无疆与中科通达9.92%股，本案的方法论意义不在于把交易结果写成通用并购总结，而在于把人民币218,012,890.20元（每股18.89元，合计11,541,180股，占9.92%）；披露的每股价格为18.89元/股、转让股份数量：11,541,180股；占总股本比例：9.92%；每股转让价格：18.89元；转让价款合计：218,012,890.20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上海悦驰无疆而言，关键是交割承接和整合节奏能否与已披露安排匹配；对中科通达9.92%股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