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璟辉咨询收购园林股份10.35%：协议转让与交割条件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本案例涉及璟辉咨询（下称</w:t>
      </w:r>
      <w:r>
        <w:rPr>
          <w:rFonts w:ascii="Times New Roman" w:hAnsi="Times New Roman" w:eastAsia="Times New Roman" w:cs="Times New Roman"/>
          <w:b w:val="0"/>
          <w:sz w:val="28"/>
        </w:rPr>
        <w:t>“</w:t>
      </w:r>
      <w:r>
        <w:rPr>
          <w:rFonts w:ascii="Times New Roman" w:hAnsi="Times New Roman" w:eastAsia="仿宋" w:cs="Times New Roman"/>
          <w:b w:val="0"/>
          <w:sz w:val="28"/>
        </w:rPr>
        <w:t>璟辉咨询</w:t>
      </w:r>
      <w:r>
        <w:rPr>
          <w:rFonts w:ascii="Times New Roman" w:hAnsi="Times New Roman" w:eastAsia="Times New Roman" w:cs="Times New Roman"/>
          <w:b w:val="0"/>
          <w:sz w:val="28"/>
        </w:rPr>
        <w:t>”</w:t>
      </w:r>
      <w:r>
        <w:rPr>
          <w:rFonts w:ascii="Times New Roman" w:hAnsi="Times New Roman" w:eastAsia="仿宋" w:cs="Times New Roman"/>
          <w:b w:val="0"/>
          <w:sz w:val="28"/>
        </w:rPr>
        <w:t>）收购园林股份10.35%股份（下称</w:t>
      </w:r>
      <w:r>
        <w:rPr>
          <w:rFonts w:ascii="Times New Roman" w:hAnsi="Times New Roman" w:eastAsia="Times New Roman" w:cs="Times New Roman"/>
          <w:b w:val="0"/>
          <w:sz w:val="28"/>
        </w:rPr>
        <w:t>“</w:t>
      </w:r>
      <w:r>
        <w:rPr>
          <w:rFonts w:ascii="Times New Roman" w:hAnsi="Times New Roman" w:eastAsia="仿宋" w:cs="Times New Roman"/>
          <w:b w:val="0"/>
          <w:sz w:val="28"/>
        </w:rPr>
        <w:t>园林股份10.35%股份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控股股东、员工持股平台协议转让股份过户完成的公告》，目标线索为公开资料未单独披露买方动机；根据交易安排，璟辉咨询作为园融集团上层股东，受让股份后计划通过园融集团回购注销其股权或原股东按持股比例购买其所持园融集团股权等方式退出在园融集团的投资；交易完成后璟辉咨询与园融集团构成一致行动人。。2026年7月18日，杭州市园林绿化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园林股份</w:t>
      </w:r>
      <w:r>
        <w:rPr>
          <w:rFonts w:ascii="Times New Roman" w:hAnsi="Times New Roman" w:eastAsia="Times New Roman" w:cs="Times New Roman"/>
          <w:b w:val="0"/>
          <w:sz w:val="28"/>
        </w:rPr>
        <w:t>”</w:t>
      </w:r>
      <w:r>
        <w:rPr>
          <w:rFonts w:ascii="Times New Roman" w:hAnsi="Times New Roman" w:eastAsia="仿宋" w:cs="Times New Roman"/>
          <w:b w:val="0"/>
          <w:sz w:val="28"/>
        </w:rPr>
        <w:t>，605303）公告控股股东及员工持股平台协议转让股份完成过户。交易前，控股股东杭州园融控股集团有限公司（下称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园融集团</w:t>
      </w:r>
      <w:r>
        <w:rPr>
          <w:rFonts w:ascii="Times New Roman" w:hAnsi="Times New Roman" w:eastAsia="Times New Roman" w:cs="Times New Roman"/>
          <w:b w:val="0"/>
          <w:sz w:val="28"/>
        </w:rPr>
        <w:t>”</w:t>
      </w:r>
      <w:r>
        <w:rPr>
          <w:rFonts w:ascii="Times New Roman" w:hAnsi="Times New Roman" w:eastAsia="仿宋" w:cs="Times New Roman"/>
          <w:b w:val="0"/>
          <w:sz w:val="28"/>
        </w:rPr>
        <w:t>）持有园林股份41%股权，其上层股东杭州璟辉商务咨询合伙企业（有限合伙）（下称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璟辉咨询（下称</w:t>
      </w:r>
      <w:r>
        <w:rPr>
          <w:rFonts w:ascii="Times New Roman" w:hAnsi="Times New Roman" w:eastAsia="Times New Roman" w:cs="Times New Roman"/>
          <w:b w:val="0"/>
          <w:sz w:val="28"/>
        </w:rPr>
        <w:t>“</w:t>
      </w:r>
      <w:r>
        <w:rPr>
          <w:rFonts w:ascii="Times New Roman" w:hAnsi="Times New Roman" w:eastAsia="仿宋" w:cs="Times New Roman"/>
          <w:b w:val="0"/>
          <w:sz w:val="28"/>
        </w:rPr>
        <w:t>璟辉咨询</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）通过园融集团间接持股；员工持股平台杭州风舞科技发展有限公司（下称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风舞发展</w:t>
      </w:r>
      <w:r>
        <w:rPr>
          <w:rFonts w:ascii="Times New Roman" w:hAnsi="Times New Roman" w:eastAsia="Times New Roman" w:cs="Times New Roman"/>
          <w:b w:val="0"/>
          <w:sz w:val="28"/>
        </w:rPr>
        <w:t>”</w:t>
      </w:r>
      <w:r>
        <w:rPr>
          <w:rFonts w:ascii="Times New Roman" w:hAnsi="Times New Roman" w:eastAsia="仿宋" w:cs="Times New Roman"/>
          <w:b w:val="0"/>
          <w:sz w:val="28"/>
        </w:rPr>
        <w:t>）的上层股东祝艳、丁霞通过该平台间接持股。2026年4月3日，园融集团与璟辉咨询签署《股份转让协议》，以16.38元/股转让16,694,142股（占10.35%），总价款约273,409,245.96元；同日风舞发展与济海启恒一号私募证券投资基金（下称</w:t>
      </w:r>
      <w:r>
        <w:rPr>
          <w:rFonts w:ascii="Times New Roman" w:hAnsi="Times New Roman" w:eastAsia="Times New Roman" w:cs="Times New Roman"/>
          <w:b w:val="0"/>
          <w:sz w:val="28"/>
        </w:rPr>
        <w:t>“</w:t>
      </w:r>
      <w:r>
        <w:rPr>
          <w:rFonts w:ascii="Times New Roman" w:hAnsi="Times New Roman" w:eastAsia="仿宋" w:cs="Times New Roman"/>
          <w:b w:val="0"/>
          <w:sz w:val="28"/>
        </w:rPr>
        <w:t>济海启恒</w:t>
      </w:r>
      <w:r>
        <w:rPr>
          <w:rFonts w:ascii="Times New Roman" w:hAnsi="Times New Roman" w:eastAsia="Times New Roman" w:cs="Times New Roman"/>
          <w:b w:val="0"/>
          <w:sz w:val="28"/>
        </w:rPr>
        <w:t>”</w:t>
      </w:r>
      <w:r>
        <w:rPr>
          <w:rFonts w:ascii="Times New Roman" w:hAnsi="Times New Roman" w:eastAsia="仿宋" w:cs="Times New Roman"/>
          <w:b w:val="0"/>
          <w:sz w:val="28"/>
        </w:rPr>
        <w:t>）签署协议，以同价转让8,061,871股（占5.00%）。交易后，璟辉咨询与园融集团、济海启恒与风舞发展分别构成一致行动人，受让方承诺长期锁定。公开资料未单独披露买方动机或卖方主观原因，但从</w:t>
      </w:r>
      <w:r>
        <w:rPr>
          <w:rFonts w:ascii="Times New Roman" w:hAnsi="Times New Roman" w:eastAsia="Times New Roman" w:cs="Times New Roman"/>
          <w:b w:val="0"/>
          <w:sz w:val="28"/>
        </w:rPr>
        <w:t>“</w:t>
      </w:r>
      <w:r>
        <w:rPr>
          <w:rFonts w:ascii="Times New Roman" w:hAnsi="Times New Roman" w:eastAsia="仿宋" w:cs="Times New Roman"/>
          <w:b w:val="0"/>
          <w:sz w:val="28"/>
        </w:rPr>
        <w:t>其他安排</w:t>
      </w:r>
      <w:r>
        <w:rPr>
          <w:rFonts w:ascii="Times New Roman" w:hAnsi="Times New Roman" w:eastAsia="Times New Roman" w:cs="Times New Roman"/>
          <w:b w:val="0"/>
          <w:sz w:val="28"/>
        </w:rPr>
        <w:t>”</w:t>
      </w:r>
      <w:r>
        <w:rPr>
          <w:rFonts w:ascii="Times New Roman" w:hAnsi="Times New Roman" w:eastAsia="仿宋" w:cs="Times New Roman"/>
          <w:b w:val="0"/>
          <w:sz w:val="28"/>
        </w:rPr>
        <w:t>可见：璟辉咨询受让股份后将通过园融集团回购注销其股权或原股东按持股比例购买其股权等方式退出在园融集团的投资；祝艳、丁霞亦以类似方式退出风舞发展。这一结构将上层股东的间接持股转化为上市公司直接持股，同步实现退出与控制权稳定。</w:t>
      </w:r>
    </w:p>
    <w:p>
      <w:pPr>
        <w:spacing w:before="0" w:after="0" w:line="240" w:lineRule="auto" w:beforeLines="0" w:afterLines="0"/>
        <w:jc w:val="left"/>
        <w:ind w:firstLineChars="200"/>
      </w:pPr>
      <w:r>
        <w:rPr>
          <w:rFonts w:ascii="Times New Roman" w:hAnsi="Times New Roman" w:eastAsia="仿宋" w:cs="Times New Roman"/>
          <w:b/>
          <w:sz w:val="28"/>
        </w:rPr>
        <w:t>一、上层股东退出约束催生</w:t>
      </w:r>
      <w:r>
        <w:rPr>
          <w:rFonts w:ascii="Times New Roman" w:hAnsi="Times New Roman" w:eastAsia="Times New Roman" w:cs="Times New Roman"/>
          <w:b/>
          <w:sz w:val="28"/>
        </w:rPr>
        <w:t>“</w:t>
      </w:r>
      <w:r>
        <w:rPr>
          <w:rFonts w:ascii="Times New Roman" w:hAnsi="Times New Roman" w:eastAsia="仿宋" w:cs="Times New Roman"/>
          <w:b/>
          <w:sz w:val="28"/>
        </w:rPr>
        <w:t>股份下沉</w:t>
      </w:r>
      <w:r>
        <w:rPr>
          <w:rFonts w:ascii="Times New Roman" w:hAnsi="Times New Roman" w:eastAsia="Times New Roman" w:cs="Times New Roman"/>
          <w:b/>
          <w:sz w:val="28"/>
        </w:rPr>
        <w:t>”</w:t>
      </w:r>
      <w:r>
        <w:rPr>
          <w:rFonts w:ascii="Times New Roman" w:hAnsi="Times New Roman" w:eastAsia="仿宋" w:cs="Times New Roman"/>
          <w:b/>
          <w:sz w:val="28"/>
        </w:rPr>
        <w:t>结构</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16.38元/股，受让16,694,142股，占园林股份总股本的10.35%，总价款约273,409,245.96元；时间线包括2026年4月3日，璟辉咨询与园融集团签署《股份转让协议》；2026年4月8日，公司披露相关《简式权益变动报告书》；关键数字包括协议转让价格：16.38元/股；璟辉咨询受让股份数：16,694,142股；受让比例：占园林股份总股本的10.35%；交易总价款约：273,409,245.96元。已抓取资料中的财务和经营线索为公开资料未披露园林股份的财务数据（营收、净利润、资产等）；本次交易对价总额约2.73亿元。。收购方、买方和并购方的购买理由需要回到公开资料未单独披露买方动机；根据交易安排，璟辉咨询作为园融集团上层股东，受让股份后计划通过园融集团回购注销其股权或原股东按持股比例购买其所持园融集团股权等方式退出在园融集团的投资；交易完成后璟辉咨询与园融集团构成一致行动人。；出售方、转让方或预受要约股东的接受安排依据为公开资料未单独披露出售方主观原因。</w:t>
      </w:r>
    </w:p>
    <w:p>
      <w:pPr>
        <w:spacing w:before="0" w:after="0" w:line="240" w:lineRule="auto" w:beforeLines="0" w:afterLines="0"/>
        <w:jc w:val="both"/>
        <w:ind w:firstLineChars="200"/>
      </w:pPr>
      <w:r>
        <w:rPr>
          <w:rFonts w:ascii="Times New Roman" w:hAnsi="Times New Roman" w:eastAsia="仿宋" w:cs="Times New Roman"/>
          <w:b w:val="0"/>
          <w:sz w:val="28"/>
        </w:rPr>
        <w:t>交易前，园融集团持有园林股份41%股权，为控股股东；璟辉咨询作为园融集团上层股东，通过园融集团间接持有上市公司权益；风舞发展为员工持股平台，其上层股东祝艳、丁霞通过该平台间接持股。公开资料未披露园林股份的营业收入、净利润、资产总额、负债及现金流等财务数据，也未披露园融集团、璟辉咨询、风舞发展的经营规模。但从名称判断，园林股份主业为园林绿化，该行业项目周期长、回款依赖政府或地产客户，控股股东稳定对项目延续和融资安排具有实际意义。</w:t>
      </w:r>
    </w:p>
    <w:p>
      <w:pPr>
        <w:spacing w:before="0" w:after="0" w:line="240" w:lineRule="auto" w:beforeLines="0" w:afterLines="0"/>
        <w:jc w:val="both"/>
        <w:ind w:firstLineChars="200"/>
      </w:pPr>
      <w:r>
        <w:rPr>
          <w:rFonts w:ascii="Times New Roman" w:hAnsi="Times New Roman" w:eastAsia="仿宋" w:cs="Times New Roman"/>
          <w:b w:val="0"/>
          <w:sz w:val="28"/>
        </w:rPr>
        <w:t>财务投资人若需退出，直接转让园融集团或风舞发展的股权面临非上市股权流动性差、定价困难等问题，且对外转让可能削弱控股股东控制力。因此，交易设计为</w:t>
      </w:r>
      <w:r>
        <w:rPr>
          <w:rFonts w:ascii="Times New Roman" w:hAnsi="Times New Roman" w:eastAsia="Times New Roman" w:cs="Times New Roman"/>
          <w:b w:val="0"/>
          <w:sz w:val="28"/>
        </w:rPr>
        <w:t>“</w:t>
      </w:r>
      <w:r>
        <w:rPr>
          <w:rFonts w:ascii="Times New Roman" w:hAnsi="Times New Roman" w:eastAsia="仿宋" w:cs="Times New Roman"/>
          <w:b w:val="0"/>
          <w:sz w:val="28"/>
        </w:rPr>
        <w:t>股份下沉</w:t>
      </w:r>
      <w:r>
        <w:rPr>
          <w:rFonts w:ascii="Times New Roman" w:hAnsi="Times New Roman" w:eastAsia="Times New Roman" w:cs="Times New Roman"/>
          <w:b w:val="0"/>
          <w:sz w:val="28"/>
        </w:rPr>
        <w:t>”</w:t>
      </w:r>
      <w:r>
        <w:rPr>
          <w:rFonts w:ascii="Times New Roman" w:hAnsi="Times New Roman" w:eastAsia="仿宋" w:cs="Times New Roman"/>
          <w:b w:val="0"/>
          <w:sz w:val="28"/>
        </w:rPr>
        <w:t>：由园融集团将10.35%股份协议转让给璟辉咨询，风舞发展将5.00%股份转让给济海启恒，使上层股东获得上市公司直接股份，同时在上层通过回购或购买退出。这避免了向外部第三方转让股份，维持控制权架构不变。该安排的客观发起机制来源于已披露的协议签署、权益变动公告及过户程序，主观目的未披露。</w:t>
      </w:r>
    </w:p>
    <w:p>
      <w:pPr>
        <w:spacing w:before="0" w:after="0" w:line="240" w:lineRule="auto" w:beforeLines="0" w:afterLines="0"/>
        <w:jc w:val="left"/>
        <w:ind w:firstLineChars="200"/>
      </w:pPr>
      <w:r>
        <w:rPr>
          <w:rFonts w:ascii="Times New Roman" w:hAnsi="Times New Roman" w:eastAsia="仿宋" w:cs="Times New Roman"/>
          <w:b/>
          <w:sz w:val="28"/>
        </w:rPr>
        <w:t>二、两笔协议转让的条款与交割安排</w:t>
      </w:r>
    </w:p>
    <w:p>
      <w:pPr>
        <w:spacing w:before="0" w:after="0" w:line="240" w:lineRule="auto" w:beforeLines="0" w:afterLines="0"/>
        <w:jc w:val="both"/>
        <w:ind w:firstLineChars="200"/>
      </w:pPr>
      <w:r>
        <w:rPr>
          <w:rFonts w:ascii="Times New Roman" w:hAnsi="Times New Roman" w:eastAsia="仿宋" w:cs="Times New Roman"/>
          <w:b w:val="0"/>
          <w:sz w:val="28"/>
        </w:rPr>
        <w:t>2026年4月3日，园融集团与璟辉咨询签署《股份转让协议》，约定璟辉咨询以16.38元/股受让16,694,142股，占园林股份总股本的10.35%，总价款约273,409,245.96元。同日，风舞发展与济海启恒签署协议，以同价格转让8,061,871股，占5.00%。2026年4月8日，公司披露《简式权益变动报告书》；2026年7月15日完成股份过户，7。</w:t>
      </w:r>
    </w:p>
    <w:p>
      <w:pPr>
        <w:spacing w:before="0" w:after="0" w:line="240" w:lineRule="auto" w:beforeLines="0" w:afterLines="0"/>
        <w:jc w:val="both"/>
        <w:ind w:firstLineChars="200"/>
      </w:pPr>
      <w:r>
        <w:rPr>
          <w:rFonts w:ascii="Times New Roman" w:hAnsi="Times New Roman" w:eastAsia="仿宋" w:cs="Times New Roman"/>
          <w:b w:val="0"/>
          <w:sz w:val="28"/>
        </w:rPr>
        <w:t>公告同步披露</w:t>
      </w:r>
      <w:r>
        <w:rPr>
          <w:rFonts w:ascii="Times New Roman" w:hAnsi="Times New Roman" w:eastAsia="Times New Roman" w:cs="Times New Roman"/>
          <w:b w:val="0"/>
          <w:sz w:val="28"/>
        </w:rPr>
        <w:t>“</w:t>
      </w:r>
      <w:r>
        <w:rPr>
          <w:rFonts w:ascii="Times New Roman" w:hAnsi="Times New Roman" w:eastAsia="仿宋" w:cs="Times New Roman"/>
          <w:b w:val="0"/>
          <w:sz w:val="28"/>
        </w:rPr>
        <w:t>其他安排</w:t>
      </w:r>
      <w:r>
        <w:rPr>
          <w:rFonts w:ascii="Times New Roman" w:hAnsi="Times New Roman" w:eastAsia="Times New Roman" w:cs="Times New Roman"/>
          <w:b w:val="0"/>
          <w:sz w:val="28"/>
        </w:rPr>
        <w:t>”</w:t>
      </w:r>
      <w:r>
        <w:rPr>
          <w:rFonts w:ascii="Times New Roman" w:hAnsi="Times New Roman" w:eastAsia="仿宋" w:cs="Times New Roman"/>
          <w:b w:val="0"/>
          <w:sz w:val="28"/>
        </w:rPr>
        <w:t>：璟辉咨询购买股份后，将采取由园融集团回购注销其股权或由原股东按持股比例购买其所持园融集团股权等合规方式退出在园融集团的投资；祝艳、丁霞将采取由风舞发展回购注销其股权或由原股东按持股比例购买其所持风舞发展股权等方式退出。同时，璟辉咨询承诺自股份过户之日起18个月内不减持，济海启恒承诺12个月内不减持。两项转让价格一致，表明上市公司股份。</w:t>
      </w:r>
    </w:p>
    <w:p>
      <w:pPr>
        <w:spacing w:before="0" w:after="0" w:line="240" w:lineRule="auto" w:beforeLines="0" w:afterLines="0"/>
        <w:jc w:val="left"/>
        <w:ind w:firstLineChars="200"/>
      </w:pPr>
      <w:r>
        <w:rPr>
          <w:rFonts w:ascii="Times New Roman" w:hAnsi="Times New Roman" w:eastAsia="仿宋" w:cs="Times New Roman"/>
          <w:b/>
          <w:sz w:val="28"/>
        </w:rPr>
        <w:t>三、一致行动人认定锁定控制权稳定</w:t>
      </w:r>
    </w:p>
    <w:p>
      <w:pPr>
        <w:spacing w:before="0" w:after="0" w:line="240" w:lineRule="auto" w:beforeLines="0" w:afterLines="0"/>
        <w:jc w:val="both"/>
        <w:ind w:firstLineChars="200"/>
      </w:pPr>
      <w:r>
        <w:rPr>
          <w:rFonts w:ascii="Times New Roman" w:hAnsi="Times New Roman" w:eastAsia="仿宋" w:cs="Times New Roman"/>
          <w:b w:val="0"/>
          <w:sz w:val="28"/>
        </w:rPr>
        <w:t>交易完成后，园融集团直接持股比例由41%降至30.65%，璟辉咨询直接持有10.35%，合计仍为41%；风舞发展与济海启恒构成一致行动人。公告明确载明：</w:t>
      </w:r>
      <w:r>
        <w:rPr>
          <w:rFonts w:ascii="Times New Roman" w:hAnsi="Times New Roman" w:eastAsia="Times New Roman" w:cs="Times New Roman"/>
          <w:b w:val="0"/>
          <w:sz w:val="28"/>
        </w:rPr>
        <w:t>“</w:t>
      </w:r>
      <w:r>
        <w:rPr>
          <w:rFonts w:ascii="Times New Roman" w:hAnsi="Times New Roman" w:eastAsia="仿宋" w:cs="Times New Roman"/>
          <w:b w:val="0"/>
          <w:sz w:val="28"/>
        </w:rPr>
        <w:t>自本次公司股份过户至璟辉咨询及济海启恒名下之日起，根据《上市公司收购管理办法》第八十三条的规定，璟辉咨询与园融集团为一致行动人，济海启恒与风舞发展为一致行动人。</w:t>
      </w:r>
      <w:r>
        <w:rPr>
          <w:rFonts w:ascii="Times New Roman" w:hAnsi="Times New Roman" w:eastAsia="Times New Roman" w:cs="Times New Roman"/>
          <w:b w:val="0"/>
          <w:sz w:val="28"/>
        </w:rPr>
        <w:t>”</w:t>
      </w:r>
      <w:r>
        <w:rPr>
          <w:rFonts w:ascii="Times New Roman" w:hAnsi="Times New Roman" w:eastAsia="仿宋" w:cs="Times New Roman"/>
          <w:b w:val="0"/>
          <w:sz w:val="28"/>
        </w:rPr>
        <w:t>这一认定是本次交易合规性的基石。若无一致行动。</w:t>
      </w:r>
    </w:p>
    <w:p>
      <w:pPr>
        <w:spacing w:before="0" w:after="0" w:line="240" w:lineRule="auto" w:beforeLines="0" w:afterLines="0"/>
        <w:jc w:val="both"/>
        <w:ind w:firstLineChars="200"/>
      </w:pPr>
      <w:r>
        <w:rPr>
          <w:rFonts w:ascii="Times New Roman" w:hAnsi="Times New Roman" w:eastAsia="仿宋" w:cs="Times New Roman"/>
          <w:b w:val="0"/>
          <w:sz w:val="28"/>
        </w:rPr>
        <w:t>通过一致行动人安排，转让双方的表决权合并计算，控股股东地位得以稳固，且无需发出全面要约。受让方的长期不减持承诺进一步强化了市场对控制权稳定的预期，降低短期抛压。该承诺符合监管对协议转让受让方的常规要求，18个月和12个月的差异化锁定可能反映不同退出安排节奏。公开资料未披露董事会或股东会决议、独立财务顾问意见等，但上交所合规性确认及中登公司过户程序已经完成。</w:t>
      </w:r>
    </w:p>
    <w:p>
      <w:pPr>
        <w:spacing w:before="0" w:after="0" w:line="240" w:lineRule="auto" w:beforeLines="0" w:afterLines="0"/>
        <w:jc w:val="left"/>
        <w:ind w:firstLineChars="200"/>
      </w:pPr>
      <w:r>
        <w:rPr>
          <w:rFonts w:ascii="Times New Roman" w:hAnsi="Times New Roman" w:eastAsia="仿宋" w:cs="Times New Roman"/>
          <w:b/>
          <w:sz w:val="28"/>
        </w:rPr>
        <w:t>四、上层退出路径的两种合规机制</w:t>
      </w:r>
    </w:p>
    <w:p>
      <w:pPr>
        <w:spacing w:before="0" w:after="0" w:line="240" w:lineRule="auto" w:beforeLines="0" w:afterLines="0"/>
        <w:jc w:val="both"/>
        <w:ind w:firstLineChars="200"/>
      </w:pPr>
      <w:r>
        <w:rPr>
          <w:rFonts w:ascii="Times New Roman" w:hAnsi="Times New Roman" w:eastAsia="仿宋" w:cs="Times New Roman"/>
          <w:b w:val="0"/>
          <w:sz w:val="28"/>
        </w:rPr>
        <w:t>公告给出两种退出方式：回购注销或原股东按持股比例购买。回购注销需履行减资程序，包括股东会决议、通知债权人、公告等，程序复杂但可能降低直接转让的税务负担；原股东购买则需其他股东放弃优先购买权，并明确转让价格和支付安排，程序相对简单但可能受制于原股东资金实力。无论采用何种方式，璟辉咨询和祝艳、丁霞均将在上层主体层面完全退出，不再通过园融集团或风舞发展间接持有上市公司股份。</w:t>
      </w:r>
    </w:p>
    <w:p>
      <w:pPr>
        <w:spacing w:before="0" w:after="0" w:line="240" w:lineRule="auto" w:beforeLines="0" w:afterLines="0"/>
        <w:jc w:val="both"/>
        <w:ind w:firstLineChars="200"/>
      </w:pPr>
      <w:r>
        <w:rPr>
          <w:rFonts w:ascii="Times New Roman" w:hAnsi="Times New Roman" w:eastAsia="仿宋" w:cs="Times New Roman"/>
          <w:b w:val="0"/>
          <w:sz w:val="28"/>
        </w:rPr>
        <w:t>这一设计的关键在于退出与受让的同步性：一方面，投资人获得上市公司股份作为对价，其价值与流动性显著优于原上层股权；另一方面，上层主体通过回购或转让承接了原股权，自身股权结构保持稳定，从而不会削弱对上市公司的控制力。公开资料未披露上述退出安排的具体定价、支付时点和税务处理，因此无法判断两种路径的最终选择及其效率。若采用回购注销，园融集团或风舞发展的注册资本将减少，控股股东还需考虑对自身资产负债率及后续融资能力的潜在影响。</w:t>
      </w:r>
    </w:p>
    <w:p>
      <w:pPr>
        <w:spacing w:before="0" w:after="0" w:line="240" w:lineRule="auto" w:beforeLines="0" w:afterLines="0"/>
        <w:jc w:val="left"/>
        <w:ind w:firstLineChars="200"/>
      </w:pPr>
      <w:r>
        <w:rPr>
          <w:rFonts w:ascii="Times New Roman" w:hAnsi="Times New Roman" w:eastAsia="仿宋" w:cs="Times New Roman"/>
          <w:b/>
          <w:sz w:val="28"/>
        </w:rPr>
        <w:t>五、结语：协议转让与交割条件的核验方法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璟辉咨询受让园林股份10.35%股份（下称</w:t>
      </w:r>
      <w:r>
        <w:rPr>
          <w:rFonts w:ascii="Times New Roman" w:hAnsi="Times New Roman" w:eastAsia="Times New Roman" w:cs="Times New Roman"/>
          <w:b w:val="0"/>
          <w:sz w:val="28"/>
        </w:rPr>
        <w:t>“</w:t>
      </w:r>
      <w:r>
        <w:rPr>
          <w:rFonts w:ascii="Times New Roman" w:hAnsi="Times New Roman" w:eastAsia="仿宋" w:cs="Times New Roman"/>
          <w:b w:val="0"/>
          <w:sz w:val="28"/>
        </w:rPr>
        <w:t>园林股份10.35%股份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以16.38元/股、总价约2.73亿元完成股份过户，并同步安排上层退出。园融集团与璟辉咨询、风舞发展与济海启恒分别构成一致行动人，合计表决权未发生实质变化，控股股东地位稳固。这一案例证明，在上市公司控股股东上层存在财务投资人的情况下，通过协议转让实现</w:t>
      </w:r>
      <w:r>
        <w:rPr>
          <w:rFonts w:ascii="Times New Roman" w:hAnsi="Times New Roman" w:eastAsia="Times New Roman" w:cs="Times New Roman"/>
          <w:b w:val="0"/>
          <w:sz w:val="28"/>
        </w:rPr>
        <w:t>“</w:t>
      </w:r>
      <w:r>
        <w:rPr>
          <w:rFonts w:ascii="Times New Roman" w:hAnsi="Times New Roman" w:eastAsia="仿宋" w:cs="Times New Roman"/>
          <w:b w:val="0"/>
          <w:sz w:val="28"/>
        </w:rPr>
        <w:t>股份下沉</w:t>
      </w:r>
      <w:r>
        <w:rPr>
          <w:rFonts w:ascii="Times New Roman" w:hAnsi="Times New Roman" w:eastAsia="Times New Roman" w:cs="Times New Roman"/>
          <w:b w:val="0"/>
          <w:sz w:val="28"/>
        </w:rPr>
        <w:t>”</w:t>
      </w:r>
      <w:r>
        <w:rPr>
          <w:rFonts w:ascii="Times New Roman" w:hAnsi="Times New Roman" w:eastAsia="仿宋" w:cs="Times New Roman"/>
          <w:b w:val="0"/>
          <w:sz w:val="28"/>
        </w:rPr>
        <w:t>、以上层回购或原股东购买完成退出、并辅以一致行动人认定和减持承诺，可以形成一套完整的合规闭环。</w:t>
      </w:r>
    </w:p>
    <w:p>
      <w:pPr>
        <w:spacing w:before="0" w:after="0" w:line="240" w:lineRule="auto" w:beforeLines="0" w:afterLines="0"/>
        <w:jc w:val="both"/>
        <w:ind w:firstLineChars="200"/>
      </w:pPr>
      <w:r>
        <w:rPr>
          <w:rFonts w:ascii="Times New Roman" w:hAnsi="Times New Roman" w:eastAsia="仿宋" w:cs="Times New Roman"/>
          <w:b w:val="0"/>
          <w:sz w:val="28"/>
        </w:rPr>
        <w:t>本案的方法论意义在于：并购前应充分核查上层股东结构与退出意愿，交易条款中应明确一致行动人安排和锁定承诺，交割承接阶段需落实上层退出程序，避免因程序瑕疵影响控制权稳定。对同类</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的存量退出，该结构避免了直接向外部第三方转让股份可能引发的控制权争夺或市场负面解读，也避免了投资人直接在二级市场减持的冲击成本。但适用前提是转让价格公允、一致行动人关系清晰、受让方锁定承诺足够长。公开资料未提供财务数据，因此估值合理性无法判断，但协议转让价格统一适用于两笔交易，减少了不同层级股东利益差异导致的谈判摩擦。</w:t>
      </w:r>
    </w:p>
    <w:p>
      <w:pPr>
        <w:spacing w:before="0" w:after="0" w:line="240" w:lineRule="auto" w:beforeLines="0" w:afterLines="0"/>
        <w:jc w:val="both"/>
        <w:ind w:firstLineChars="200"/>
      </w:pPr>
      <w:r>
        <w:rPr>
          <w:rFonts w:ascii="Times New Roman" w:hAnsi="Times New Roman" w:eastAsia="仿宋" w:cs="Times New Roman"/>
          <w:b w:val="0"/>
          <w:sz w:val="28"/>
        </w:rPr>
        <w:t>回到璟辉咨询与园林股份10.35%，本案的方法论意义不在于把交易结果写成通用并购总结，而在于把16.38元/股，受让16,694,142股，占园林股份总股本的10.35%，总价款约273,409,245.96元、协议转让价格：16.38元/股；璟辉咨询受让股份数：16,694,142股；受让比例：占园林股份总股本的10.35%；交易总价款约：273,409,245.96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璟辉咨询而言，关键是交割承接和整合节奏能否与已披露安排匹配；对园林股份10.35%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