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beforeLines="0" w:afterLines="0"/>
        <w:jc w:val="center"/>
        <w:ind/>
      </w:pPr>
      <w:r>
        <w:rPr>
          <w:rFonts w:ascii="Times New Roman" w:hAnsi="Times New Roman" w:eastAsia="黑体" w:cs="Times New Roman"/>
          <w:b w:val="0"/>
          <w:sz w:val="30"/>
        </w:rPr>
        <w:t>欧菲光集团收购欧菲微电子南昌有限公：股权比例与治理安排</w:t>
      </w:r>
    </w:p>
    <w:p>
      <w:pPr>
        <w:spacing w:before="0" w:after="0" w:line="240" w:lineRule="auto" w:beforeLines="0" w:afterLines="0"/>
        <w:jc w:val="both"/>
        <w:ind w:firstLineChars="200"/>
      </w:pPr>
      <w:r>
        <w:rPr>
          <w:rFonts w:ascii="Times New Roman" w:hAnsi="Times New Roman" w:eastAsia="仿宋" w:cs="Times New Roman"/>
          <w:b w:val="0"/>
          <w:sz w:val="28"/>
        </w:rPr>
        <w:t>本案例涉及欧菲光集团股份有限公司（下称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欧菲光</w:t>
      </w:r>
      <w:r>
        <w:rPr>
          <w:rFonts w:ascii="Times New Roman" w:hAnsi="Times New Roman" w:eastAsia="Times New Roman" w:cs="Times New Roman"/>
          <w:b w:val="0"/>
          <w:sz w:val="28"/>
        </w:rPr>
        <w:t>”</w:t>
      </w:r>
      <w:r>
        <w:rPr>
          <w:rFonts w:ascii="Times New Roman" w:hAnsi="Times New Roman" w:eastAsia="仿宋" w:cs="Times New Roman"/>
          <w:b w:val="0"/>
          <w:sz w:val="28"/>
        </w:rPr>
        <w:t>）收购欧菲微电子（南昌）有限公司28.2461%股权（下称</w:t>
      </w:r>
      <w:r>
        <w:rPr>
          <w:rFonts w:ascii="Times New Roman" w:hAnsi="Times New Roman" w:eastAsia="Times New Roman" w:cs="Times New Roman"/>
          <w:b w:val="0"/>
          <w:sz w:val="28"/>
        </w:rPr>
        <w:t>“</w:t>
      </w:r>
      <w:r>
        <w:rPr>
          <w:rFonts w:ascii="Times New Roman" w:hAnsi="Times New Roman" w:eastAsia="仿宋" w:cs="Times New Roman"/>
          <w:b w:val="0"/>
          <w:sz w:val="28"/>
        </w:rPr>
        <w:t>欧菲微电子28.2461%股权</w:t>
      </w:r>
      <w:r>
        <w:rPr>
          <w:rFonts w:ascii="Times New Roman" w:hAnsi="Times New Roman" w:eastAsia="Times New Roman" w:cs="Times New Roman"/>
          <w:b w:val="0"/>
          <w:sz w:val="28"/>
        </w:rPr>
        <w:t>”</w:t>
      </w:r>
      <w:r>
        <w:rPr>
          <w:rFonts w:ascii="Times New Roman" w:hAnsi="Times New Roman" w:eastAsia="仿宋" w:cs="Times New Roman"/>
          <w:b w:val="0"/>
          <w:sz w:val="28"/>
        </w:rPr>
        <w:t>）的交易安排。交易前，本案例先从股权结构、控制权状态、业务状态和产业位置理解双方处境；交易的触发路径来自欧菲光集团股份有限公司关于发行股份购买资产之标的资产完成过户的公告，目标线索为公开资料未单独披露；基于公告：通过发行股份购买资产方式整合标的公司股权。控股子公司少数股权的收购，多数以现金归集。欧菲光集团股份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欧菲光</w:t>
      </w:r>
      <w:r>
        <w:rPr>
          <w:rFonts w:ascii="Times New Roman" w:hAnsi="Times New Roman" w:eastAsia="Times New Roman" w:cs="Times New Roman"/>
          <w:b w:val="0"/>
          <w:sz w:val="28"/>
        </w:rPr>
        <w:t>”</w:t>
      </w:r>
      <w:r>
        <w:rPr>
          <w:rFonts w:ascii="Times New Roman" w:hAnsi="Times New Roman" w:eastAsia="仿宋" w:cs="Times New Roman"/>
          <w:b w:val="0"/>
          <w:sz w:val="28"/>
        </w:rPr>
        <w:t>，股票代码：002456）却以发行股份的方式，购入欧菲微电子（南昌）有限公司（下称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欧菲微电子</w:t>
      </w:r>
      <w:r>
        <w:rPr>
          <w:rFonts w:ascii="Times New Roman" w:hAnsi="Times New Roman" w:eastAsia="Times New Roman" w:cs="Times New Roman"/>
          <w:b w:val="0"/>
          <w:sz w:val="28"/>
        </w:rPr>
        <w:t>”</w:t>
      </w:r>
      <w:r>
        <w:rPr>
          <w:rFonts w:ascii="Times New Roman" w:hAnsi="Times New Roman" w:eastAsia="仿宋" w:cs="Times New Roman"/>
          <w:b w:val="0"/>
          <w:sz w:val="28"/>
        </w:rPr>
        <w:t>）28.2461%的股权，交易于2026年6月13日完成资产过户。这一结构将该笔交易从单纯的现金调配，转变为对上市公司自身股份的再配置。对现有股东而言，核心问题不再是</w:t>
      </w:r>
      <w:r>
        <w:rPr>
          <w:rFonts w:ascii="Times New Roman" w:hAnsi="Times New Roman" w:eastAsia="Times New Roman" w:cs="Times New Roman"/>
          <w:b w:val="0"/>
          <w:sz w:val="28"/>
        </w:rPr>
        <w:t>“</w:t>
      </w:r>
      <w:r>
        <w:rPr>
          <w:rFonts w:ascii="Times New Roman" w:hAnsi="Times New Roman" w:eastAsia="仿宋" w:cs="Times New Roman"/>
          <w:b w:val="0"/>
          <w:sz w:val="28"/>
        </w:rPr>
        <w:t>是否买得起</w:t>
      </w:r>
      <w:r>
        <w:rPr>
          <w:rFonts w:ascii="Times New Roman" w:hAnsi="Times New Roman" w:eastAsia="Times New Roman" w:cs="Times New Roman"/>
          <w:b w:val="0"/>
          <w:sz w:val="28"/>
        </w:rPr>
        <w:t>”</w:t>
      </w:r>
      <w:r>
        <w:rPr>
          <w:rFonts w:ascii="Times New Roman" w:hAnsi="Times New Roman" w:eastAsia="仿宋" w:cs="Times New Roman"/>
          <w:b w:val="0"/>
          <w:sz w:val="28"/>
        </w:rPr>
        <w:t>，而是新增股份对每股价值的真实影响；对出售方南昌市产盟投资管理有限公司（下称</w:t>
      </w:r>
      <w:r>
        <w:rPr>
          <w:rFonts w:ascii="Times New Roman" w:hAnsi="Times New Roman" w:eastAsia="Times New Roman" w:cs="Times New Roman"/>
          <w:b w:val="0"/>
          <w:sz w:val="28"/>
        </w:rPr>
        <w:t>“</w:t>
      </w:r>
      <w:r>
        <w:rPr>
          <w:rFonts w:ascii="Times New Roman" w:hAnsi="Times New Roman" w:eastAsia="仿宋" w:cs="Times New Roman"/>
          <w:b w:val="0"/>
          <w:sz w:val="28"/>
        </w:rPr>
        <w:t>南昌产盟</w:t>
      </w:r>
      <w:r>
        <w:rPr>
          <w:rFonts w:ascii="Times New Roman" w:hAnsi="Times New Roman" w:eastAsia="Times New Roman" w:cs="Times New Roman"/>
          <w:b w:val="0"/>
          <w:sz w:val="28"/>
        </w:rPr>
        <w:t>”</w:t>
      </w:r>
      <w:r>
        <w:rPr>
          <w:rFonts w:ascii="Times New Roman" w:hAnsi="Times New Roman" w:eastAsia="仿宋" w:cs="Times New Roman"/>
          <w:b w:val="0"/>
          <w:sz w:val="28"/>
        </w:rPr>
        <w:t>），接受股份对价的客观逻辑在于：所获欧菲光股份具备流动性，且可分享上市公司后续增长。本案是一次在并表基础上继续收拢控制权的典型操作，其价值评估高度依赖标的资产盈利能力与股份发行定价的匹配程度。</w:t>
      </w:r>
    </w:p>
    <w:p>
      <w:pPr>
        <w:spacing w:before="0" w:after="0" w:line="240" w:lineRule="auto" w:beforeLines="0" w:afterLines="0"/>
        <w:jc w:val="left"/>
        <w:ind w:firstLineChars="200"/>
      </w:pPr>
      <w:r>
        <w:rPr>
          <w:rFonts w:ascii="Times New Roman" w:hAnsi="Times New Roman" w:eastAsia="仿宋" w:cs="Times New Roman"/>
          <w:b/>
          <w:sz w:val="28"/>
        </w:rPr>
        <w:t>一、并表格局下的悬置股权：28.2461%少数股权的来源与影响</w:t>
      </w:r>
    </w:p>
    <w:p>
      <w:pPr>
        <w:spacing w:before="0" w:after="0" w:line="240" w:lineRule="auto" w:beforeLines="0" w:afterLines="0"/>
        <w:jc w:val="both"/>
        <w:ind w:firstLineChars="200"/>
      </w:pPr>
      <w:r>
        <w:rPr>
          <w:rFonts w:ascii="Times New Roman" w:hAnsi="Times New Roman" w:eastAsia="仿宋" w:cs="Times New Roman"/>
          <w:b w:val="0"/>
          <w:sz w:val="28"/>
        </w:rPr>
        <w:t>事实披露边界上，本案可引用的交易对价、估值或支付口径为公开资料未披露具体金额；股份支付；时间线包括2026-06-09：收到中国证监会《关于同意欧菲光集团股份有限公司发行股份购买资产注册的批复》；2026-06-13：标的资产完成过户并公告；关键数字包括收购股权比例：28.2461%；支付方式：股份支付；案例：欧菲光收购欧菲微电子（南昌）有限公司28.2461%股权；并购标的：欧菲微电子（南昌）有限公司28.2461%股权。已抓取资料中的财务和经营线索为公开资料未披露。收购方、买方和并购方的购买理由需要回到公开资料未单独披露；基于公告：通过发行股份购买资产方式整合标的公司股权；出售方、转让方或预受要约股东的接受安排依据为公开资料未单独披露；客观安排：以股份作为交易对价，获得欧菲光新增股份。因此，后文只围绕已披露的股权比例、支付方式、交易价格、资产、客户、产能、技术、治理边界、交割条件、现金流、负债、收入和净利润影响展开，未披露事项作为资料核验边界处理。</w:t>
      </w:r>
    </w:p>
    <w:p>
      <w:pPr>
        <w:spacing w:before="0" w:after="0" w:line="240" w:lineRule="auto" w:beforeLines="0" w:afterLines="0"/>
        <w:jc w:val="both"/>
        <w:ind w:firstLineChars="200"/>
      </w:pPr>
      <w:r>
        <w:rPr>
          <w:rFonts w:ascii="Times New Roman" w:hAnsi="Times New Roman" w:eastAsia="仿宋" w:cs="Times New Roman"/>
          <w:b w:val="0"/>
          <w:sz w:val="28"/>
        </w:rPr>
        <w:t>交易前，欧菲微电子已是欧菲光的控股子公司，纳入合并财务报表。尽管公开资料未披露欧菲光原先持有的具体股权比例，但仅从28.2461%的少数股权占比可推断，欧菲光此前至少持有超过50%的股权，极可能处于绝对控股地位。该少数股权由南昌产盟持有，南昌产盟是一家投资管理公司，其持股反映出早期子公司引入外部资本的历史痕迹。在控股并表的架构下，欧菲光能够主导子公司的经营与财务决策，但接近三成的净利润需归属少数股东，无法完全体现在归母净利润中。同时，少数股东的存在可能在重大资本开支、技术路线选择等事项上带来治理摩擦，尤其是在行业快速变化时期，一致行动的要求更为迫切。子公司已并表的事实，意味着标的公司的业务、资产及风险已显现在上市公司的合并报表中，本次收购仅改变权益归属，不会中断业务连续性，这一前提条件使得收购少数股权具有天然的可行性。</w:t>
      </w:r>
    </w:p>
    <w:p>
      <w:pPr>
        <w:spacing w:before="0" w:after="0" w:line="240" w:lineRule="auto" w:beforeLines="0" w:afterLines="0"/>
        <w:jc w:val="both"/>
        <w:ind w:firstLineChars="200"/>
      </w:pPr>
      <w:r>
        <w:rPr>
          <w:rFonts w:ascii="Times New Roman" w:hAnsi="Times New Roman" w:eastAsia="仿宋" w:cs="Times New Roman"/>
          <w:b w:val="0"/>
          <w:sz w:val="28"/>
        </w:rPr>
        <w:t>对于欧菲光而言，这笔少数股权的存在不仅仅是利润归属的结构性问题。光学光电子行业高度依赖大规模资本投入与快速产能爬坡，核心子公司往往承担了特定的产品线或工艺职能。在公开资料所示条件下少数股东在增资扩产、客户认证或技术升级等重大决策上无法与控股股东保持同步，可能拖累整个集团对终端客户需求的响应速度。因此，从控股走向对关键子公司的完全控制，往往不是简单的财务归因，而是产业竞争驱动的组织归位。本案中，公开资料未披露欧菲光发起收购的具体战略意图，但结合光学行业的普遍实践与欧菲光的业务布局，可以合理推断，全资化是为了消除治理层面的潜在分歧，将子公司的技术路线、产能规划和客户认证完全纳入集团一体化管理。</w:t>
      </w:r>
    </w:p>
    <w:p>
      <w:pPr>
        <w:spacing w:before="0" w:after="0" w:line="240" w:lineRule="auto" w:beforeLines="0" w:afterLines="0"/>
        <w:jc w:val="left"/>
        <w:ind w:firstLineChars="200"/>
      </w:pPr>
      <w:r>
        <w:rPr>
          <w:rFonts w:ascii="Times New Roman" w:hAnsi="Times New Roman" w:eastAsia="仿宋" w:cs="Times New Roman"/>
          <w:b/>
          <w:sz w:val="28"/>
        </w:rPr>
        <w:t>二、纯股份支付的交易结构：程序推进与定价约束</w:t>
      </w:r>
    </w:p>
    <w:p>
      <w:pPr>
        <w:spacing w:before="0" w:after="0" w:line="240" w:lineRule="auto" w:beforeLines="0" w:afterLines="0"/>
        <w:jc w:val="both"/>
        <w:ind w:firstLineChars="200"/>
      </w:pPr>
      <w:r>
        <w:rPr>
          <w:rFonts w:ascii="Times New Roman" w:hAnsi="Times New Roman" w:eastAsia="仿宋" w:cs="Times New Roman"/>
          <w:b w:val="0"/>
          <w:sz w:val="28"/>
        </w:rPr>
        <w:t>本次交易采用发行股份购买资产的方式，由欧菲光董事会决议启动，经股东大会批准后，向中国证监会提交注册申请。2026年6月9日，证监会出具《关于同意欧菲光集团股份有限公司发行股份购买资产注册的批复》（证监许可〔2026〕1356号），标志着方案通过关键监管节点。仅在4天后，即2026年6月13日，标的资产完成过户，欧菲微电子28.2461%股权登记至欧菲光名下。</w:t>
      </w:r>
    </w:p>
    <w:p>
      <w:pPr>
        <w:spacing w:before="0" w:after="0" w:line="240" w:lineRule="auto" w:beforeLines="0" w:afterLines="0"/>
        <w:jc w:val="both"/>
        <w:ind w:firstLineChars="200"/>
      </w:pPr>
      <w:r>
        <w:rPr>
          <w:rFonts w:ascii="Times New Roman" w:hAnsi="Times New Roman" w:eastAsia="仿宋" w:cs="Times New Roman"/>
          <w:b w:val="0"/>
          <w:sz w:val="28"/>
        </w:rPr>
        <w:t>公开资料未披露南昌产盟出售股权的具体动机，但交易条款提供了接受股份支付的可分析客观依据。南昌产盟以持有的欧菲微电子少数股权，换取欧菲光新增发行的股票，本质上是从非上市子公司的少数股权，转变为上市公司直接股份。上市公司股份具有二级市场流动性，且公开资料显示未来股价上行，可带来更大增值空间。股份支付还可能延缓出售方的税务确认时点，相比直接现金交易，税务优化效果取。</w:t>
      </w:r>
    </w:p>
    <w:p>
      <w:pPr>
        <w:spacing w:before="0" w:after="0" w:line="240" w:lineRule="auto" w:beforeLines="0" w:afterLines="0"/>
        <w:jc w:val="both"/>
        <w:ind w:firstLineChars="200"/>
      </w:pPr>
      <w:r>
        <w:rPr>
          <w:rFonts w:ascii="Times New Roman" w:hAnsi="Times New Roman" w:eastAsia="仿宋" w:cs="Times New Roman"/>
          <w:b w:val="0"/>
          <w:sz w:val="28"/>
        </w:rPr>
        <w:t>股份支付的核心约束在于定价。根据重组规则，发行股份的定价通常参照董事会决议前一定期间的股票均价，标的估值则需经过资产评估。本案未披露具体发行数量与定价基准，但从结构上可以推演：若标的估值偏高，兑换出的股份数量将更多，摊薄每股收益；若估值合理且标的资产回报率高于上市公司股权成本，则每股收益可能增厚。由于欧菲微电子原本已贡献利润，收购少数股权只是将原归属少数股东。</w:t>
      </w:r>
    </w:p>
    <w:p>
      <w:pPr>
        <w:spacing w:before="0" w:after="0" w:line="240" w:lineRule="auto" w:beforeLines="0" w:afterLines="0"/>
        <w:jc w:val="left"/>
        <w:ind w:firstLineChars="200"/>
      </w:pPr>
      <w:r>
        <w:rPr>
          <w:rFonts w:ascii="Times New Roman" w:hAnsi="Times New Roman" w:eastAsia="仿宋" w:cs="Times New Roman"/>
          <w:b/>
          <w:sz w:val="28"/>
        </w:rPr>
        <w:t>三、光学组件产业的垂直整合：从控股走向全资的经营逻辑</w:t>
      </w:r>
    </w:p>
    <w:p>
      <w:pPr>
        <w:spacing w:before="0" w:after="0" w:line="240" w:lineRule="auto" w:beforeLines="0" w:afterLines="0"/>
        <w:jc w:val="both"/>
        <w:ind w:firstLineChars="200"/>
      </w:pPr>
      <w:r>
        <w:rPr>
          <w:rFonts w:ascii="Times New Roman" w:hAnsi="Times New Roman" w:eastAsia="仿宋" w:cs="Times New Roman"/>
          <w:b w:val="0"/>
          <w:sz w:val="28"/>
        </w:rPr>
        <w:t>欧菲光主营光学光电子产品的研发与制造，产品涵盖摄像头模组、指纹识别模组、3D传感模组等，下游客户集中度高，且对供应链稳定性要求严苛。终端品牌厂商的供应商名单趋于收敛，具备一体化控制和快速响应的供应商更易获得长期订单。欧菲微电子作为体系内子公司，很可能承担了某一核心组件或特定工艺的产能角色。在控股但非全资的架构下，虽然并表已经反映整体经营，但少数股东权益会分流。</w:t>
      </w:r>
    </w:p>
    <w:p>
      <w:pPr>
        <w:spacing w:before="0" w:after="0" w:line="240" w:lineRule="auto" w:beforeLines="0" w:afterLines="0"/>
        <w:jc w:val="both"/>
        <w:ind w:firstLineChars="200"/>
      </w:pPr>
      <w:r>
        <w:rPr>
          <w:rFonts w:ascii="Times New Roman" w:hAnsi="Times New Roman" w:eastAsia="仿宋" w:cs="Times New Roman"/>
          <w:b w:val="0"/>
          <w:sz w:val="28"/>
        </w:rPr>
        <w:t>本案所处的产业背景是，光学组件行业正经历从多摄普及到3D感知、车载光学等新应用场景的切换，资本开支规模和技术迭代速度同步上升。在此背景下，上市公司体系内的核心子公司需要保持高度的决策灵活性和资源调配效率。少数股权的存在，在盈利稳定期可能只是利润分配的会计问题，但在技术路线选择、大客户认证或产能转移等关键节点，则可能成为决策延迟的根源。因此，全资化不仅是财务并表的需要，更是应对下游客户集成化采购趋势的组织准备。尽管案中未单独披露买方此项动机，但光学行业竞争态势和同类上市公司的普遍做法，均指向内部股权归集是强化产业控制力的必要步骤。</w:t>
      </w:r>
    </w:p>
    <w:p>
      <w:pPr>
        <w:spacing w:before="0" w:after="0" w:line="240" w:lineRule="auto" w:beforeLines="0" w:afterLines="0"/>
        <w:jc w:val="left"/>
        <w:ind w:firstLineChars="200"/>
      </w:pPr>
      <w:r>
        <w:rPr>
          <w:rFonts w:ascii="Times New Roman" w:hAnsi="Times New Roman" w:eastAsia="仿宋" w:cs="Times New Roman"/>
          <w:b/>
          <w:sz w:val="28"/>
        </w:rPr>
        <w:t>四、股份支付对上市公司财务影响的推演</w:t>
      </w:r>
    </w:p>
    <w:p>
      <w:pPr>
        <w:spacing w:before="0" w:after="0" w:line="240" w:lineRule="auto" w:beforeLines="0" w:afterLines="0"/>
        <w:jc w:val="both"/>
        <w:ind w:firstLineChars="200"/>
      </w:pPr>
      <w:r>
        <w:rPr>
          <w:rFonts w:ascii="Times New Roman" w:hAnsi="Times New Roman" w:eastAsia="仿宋" w:cs="Times New Roman"/>
          <w:b w:val="0"/>
          <w:sz w:val="28"/>
        </w:rPr>
        <w:t>尽管公开资料未提供欧菲光与欧菲微电子的具体财务数据，但我们可以根据现有规则，推演股份支付对上市公司财务指标的可能影响。交易完成后，欧菲光总股本将因发行新股而扩大。情形发行价格在董事会决议日前一定区间的均价基础上确定，且标的估值由独立评估机构给出，那么新增股份数量取决于标的28.2461%股权的评估值与发行价格的比值。这一比值直接决定稀释程度。在公开资料所示条。</w:t>
      </w:r>
    </w:p>
    <w:p>
      <w:pPr>
        <w:spacing w:before="0" w:after="0" w:line="240" w:lineRule="auto" w:beforeLines="0" w:afterLines="0"/>
        <w:jc w:val="both"/>
        <w:ind w:firstLineChars="200"/>
      </w:pPr>
      <w:r>
        <w:rPr>
          <w:rFonts w:ascii="Times New Roman" w:hAnsi="Times New Roman" w:eastAsia="仿宋" w:cs="Times New Roman"/>
          <w:b w:val="0"/>
          <w:sz w:val="28"/>
        </w:rPr>
        <w:t>从资产负债表角度看，交易不涉及现金支出，不会增加公司债务，对偿债指标和流动性指标影响中性。但新增的少数股东权益将转为归属母公司股东的权益，净资产结构发生变化。此外，由于交易后南昌产盟成为欧菲光直接股东，其后续的增减持行为将受到上市规则约束，可能对二级市场产生心理影响。因此，交易完成后，市场关注的核心将转向欧菲微电子能否持续贡献稳定的利润，以验证收购定价的合理性。</w:t>
      </w:r>
    </w:p>
    <w:p>
      <w:pPr>
        <w:spacing w:before="0" w:after="0" w:line="240" w:lineRule="auto" w:beforeLines="0" w:afterLines="0"/>
        <w:jc w:val="left"/>
        <w:ind w:firstLineChars="200"/>
      </w:pPr>
      <w:r>
        <w:rPr>
          <w:rFonts w:ascii="Times New Roman" w:hAnsi="Times New Roman" w:eastAsia="仿宋" w:cs="Times New Roman"/>
          <w:b/>
          <w:sz w:val="28"/>
        </w:rPr>
        <w:t>五、结语：股权比例与治理安排的核验方法</w:t>
      </w:r>
    </w:p>
    <w:p>
      <w:pPr>
        <w:spacing w:before="0" w:after="0" w:line="240" w:lineRule="auto" w:beforeLines="0" w:afterLines="0"/>
        <w:jc w:val="both"/>
        <w:ind w:firstLineChars="200"/>
      </w:pPr>
      <w:r>
        <w:rPr>
          <w:rFonts w:ascii="Times New Roman" w:hAnsi="Times New Roman" w:eastAsia="仿宋" w:cs="Times New Roman"/>
          <w:b w:val="0"/>
          <w:sz w:val="28"/>
        </w:rPr>
        <w:t>欧菲光对欧菲微电子28.2461%少数股权的收购，其交割完成仅仅是一个节点。交易的核心并非支付方式本身，而是支付工具选择背后隐含的估值纪律与整合预判。从本案事实出发，上市公司在整合控股子公司少数股权时，应当首先在并表阶段即规划全资化路径，避免少数股东在关键决策期形成僵局。其次，股份支付要求更严格的定价约束：发行价格需要同时权衡现有股东的权益稀释、标的资产真实盈利能力，以及出售方接受股份后可能带来的二级市场影响。再次，注册制环境下发行股份购买资产的程序效率提升，使得从方案公告到资产过户的时间窗口可缩短至数月，这降低了期间市场波动导致的估值风险，但要求交易各方在签约时即对过渡期损益、股份锁定等细节有明确约定。本案启示在于，无现金整合不是简单的</w:t>
      </w:r>
      <w:r>
        <w:rPr>
          <w:rFonts w:ascii="Times New Roman" w:hAnsi="Times New Roman" w:eastAsia="Times New Roman" w:cs="Times New Roman"/>
          <w:b w:val="0"/>
          <w:sz w:val="28"/>
        </w:rPr>
        <w:t>“</w:t>
      </w:r>
      <w:r>
        <w:rPr>
          <w:rFonts w:ascii="Times New Roman" w:hAnsi="Times New Roman" w:eastAsia="仿宋" w:cs="Times New Roman"/>
          <w:b w:val="0"/>
          <w:sz w:val="28"/>
        </w:rPr>
        <w:t>不发钱</w:t>
      </w:r>
      <w:r>
        <w:rPr>
          <w:rFonts w:ascii="Times New Roman" w:hAnsi="Times New Roman" w:eastAsia="Times New Roman" w:cs="Times New Roman"/>
          <w:b w:val="0"/>
          <w:sz w:val="28"/>
        </w:rPr>
        <w:t>”</w:t>
      </w:r>
      <w:r>
        <w:rPr>
          <w:rFonts w:ascii="Times New Roman" w:hAnsi="Times New Roman" w:eastAsia="仿宋" w:cs="Times New Roman"/>
          <w:b w:val="0"/>
          <w:sz w:val="28"/>
        </w:rPr>
        <w:t>，而是对上市公司股份这一核心资本工具的精准运用，其成功执行取决于标的资产质量、定价公允性和后交易期股份管理的协同配合。</w:t>
      </w:r>
    </w:p>
    <w:p>
      <w:pPr>
        <w:spacing w:before="0" w:after="0" w:line="240" w:lineRule="auto" w:beforeLines="0" w:afterLines="0"/>
        <w:jc w:val="both"/>
        <w:ind w:firstLineChars="200"/>
      </w:pPr>
      <w:r>
        <w:rPr>
          <w:rFonts w:ascii="Times New Roman" w:hAnsi="Times New Roman" w:eastAsia="仿宋" w:cs="Times New Roman"/>
          <w:b w:val="0"/>
          <w:sz w:val="28"/>
        </w:rPr>
        <w:t>回到欧菲光集团与欧菲微电子南昌有限公，本案的方法论意义不在于把交易结果写成通用并购总结，而在于把公开资料未披露具体金额；股份支付、收购股权比例：28.2461%；支付方式：股份支付；案例：欧菲光收购欧菲微电子（南昌）有限公司28.2461%股权；并购标的：欧菲微电子（南昌）有限公司28.2461%股权、控制权、股权比例、支付方式和交割条件放在同一披露链条中核验。因此，同类并购首先要确认信息披露是否足以支撑估值锚、条款安排、治理边界和交易执行；其次要把产业链位置、客户结构、产能、技术路线、资源禀赋和商业模式放回标的业务承接中判断；最后才评估收入、净利润、现金流、负债、资产、市值、订单、客户和用户等财务影响。对欧菲光集团而言，关键是交割承接和整合节奏能否与已披露安排匹配；对欧菲微电子南昌有限公而言，关键是控制权或股东接受机制能否在公开资料边界内被持续验证。</w:t>
      </w:r>
    </w:p>
    <w:sectPr w:rsidR="00FC693F" w:rsidRPr="0006063C" w:rsidSect="00034616">
      <w:pgSz w:w="11906" w:h="16838"/>
      <w:pgMar w:top="1440" w:right="1800" w:bottom="1440" w:left="1800" w:header="720" w:footer="720" w:gutter="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beforeLines="0" w:afterLines="0"/>
      <w:jc w:val="both"/>
      <w:ind w:firstLineChars="200"/>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before="0" w:line="240" w:lineRule="auto" w:beforeLines="0" w:afterLines="0"/>
      <w:jc w:val="both"/>
      <w:ind w:firstLineChars="200"/>
    </w:pPr>
    <w:rPr>
      <w:rFonts w:ascii="Times New Roman" w:hAnsi="Times New Roman" w:eastAsia="仿宋"/>
      <w:sz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