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beforeLines="0" w:afterLines="0"/>
        <w:jc w:val="center"/>
        <w:ind/>
      </w:pPr>
      <w:r>
        <w:rPr>
          <w:rFonts w:ascii="Times New Roman" w:hAnsi="Times New Roman" w:eastAsia="黑体" w:cs="Times New Roman"/>
          <w:b w:val="0"/>
          <w:sz w:val="30"/>
        </w:rPr>
        <w:t>君拓启航收购飞鹿股份10%股份：控制权与治理安排</w:t>
      </w:r>
    </w:p>
    <w:p>
      <w:pPr>
        <w:spacing w:before="0" w:after="0" w:line="240" w:lineRule="auto" w:beforeLines="0" w:afterLines="0"/>
        <w:jc w:val="both"/>
        <w:ind w:firstLineChars="200"/>
      </w:pPr>
      <w:r>
        <w:rPr>
          <w:rFonts w:ascii="Times New Roman" w:hAnsi="Times New Roman" w:eastAsia="仿宋" w:cs="Times New Roman"/>
          <w:b w:val="0"/>
          <w:sz w:val="28"/>
        </w:rPr>
        <w:t>本案例涉及君拓启航（下称</w:t>
      </w:r>
      <w:r>
        <w:rPr>
          <w:rFonts w:ascii="Times New Roman" w:hAnsi="Times New Roman" w:eastAsia="Times New Roman" w:cs="Times New Roman"/>
          <w:b w:val="0"/>
          <w:sz w:val="28"/>
        </w:rPr>
        <w:t>“</w:t>
      </w:r>
      <w:r>
        <w:rPr>
          <w:rFonts w:ascii="Times New Roman" w:hAnsi="Times New Roman" w:eastAsia="仿宋" w:cs="Times New Roman"/>
          <w:b w:val="0"/>
          <w:sz w:val="28"/>
        </w:rPr>
        <w:t>君拓启航</w:t>
      </w:r>
      <w:r>
        <w:rPr>
          <w:rFonts w:ascii="Times New Roman" w:hAnsi="Times New Roman" w:eastAsia="Times New Roman" w:cs="Times New Roman"/>
          <w:b w:val="0"/>
          <w:sz w:val="28"/>
        </w:rPr>
        <w:t>”</w:t>
      </w:r>
      <w:r>
        <w:rPr>
          <w:rFonts w:ascii="Times New Roman" w:hAnsi="Times New Roman" w:eastAsia="仿宋" w:cs="Times New Roman"/>
          <w:b w:val="0"/>
          <w:sz w:val="28"/>
        </w:rPr>
        <w:t>）收购飞鹿股份10%股份（下称</w:t>
      </w:r>
      <w:r>
        <w:rPr>
          <w:rFonts w:ascii="Times New Roman" w:hAnsi="Times New Roman" w:eastAsia="Times New Roman" w:cs="Times New Roman"/>
          <w:b w:val="0"/>
          <w:sz w:val="28"/>
        </w:rPr>
        <w:t>“</w:t>
      </w:r>
      <w:r>
        <w:rPr>
          <w:rFonts w:ascii="Times New Roman" w:hAnsi="Times New Roman" w:eastAsia="仿宋" w:cs="Times New Roman"/>
          <w:b w:val="0"/>
          <w:sz w:val="28"/>
        </w:rPr>
        <w:t>飞鹿股份10%股份</w:t>
      </w:r>
      <w:r>
        <w:rPr>
          <w:rFonts w:ascii="Times New Roman" w:hAnsi="Times New Roman" w:eastAsia="Times New Roman" w:cs="Times New Roman"/>
          <w:b w:val="0"/>
          <w:sz w:val="28"/>
        </w:rPr>
        <w:t>”</w:t>
      </w:r>
      <w:r>
        <w:rPr>
          <w:rFonts w:ascii="Times New Roman" w:hAnsi="Times New Roman" w:eastAsia="仿宋" w:cs="Times New Roman"/>
          <w:b w:val="0"/>
          <w:sz w:val="28"/>
        </w:rPr>
        <w:t>）的交易安排。交易前，本案例先从股权结构、控制权状态、业务状态和产业位置理解双方处境；交易的触发路径来自关于股份协议转让完成过户登记暨公司控制权发生变更的公告，目标线索为公开资料未单独披露；依据交易安排，买方通过协议转让取得10%股份，实现控制权变更。。2026年6月22日，株洲飞鹿高新材料技术股份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飞鹿股份</w:t>
      </w:r>
      <w:r>
        <w:rPr>
          <w:rFonts w:ascii="Times New Roman" w:hAnsi="Times New Roman" w:eastAsia="Times New Roman" w:cs="Times New Roman"/>
          <w:b w:val="0"/>
          <w:sz w:val="28"/>
        </w:rPr>
        <w:t>”</w:t>
      </w:r>
      <w:r>
        <w:rPr>
          <w:rFonts w:ascii="Times New Roman" w:hAnsi="Times New Roman" w:eastAsia="仿宋" w:cs="Times New Roman"/>
          <w:b w:val="0"/>
          <w:sz w:val="28"/>
        </w:rPr>
        <w:t>，300665）原控股股东、实际控制人章卫国与青岛君拓启航智能科技有限公司（下称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君拓启航</w:t>
      </w:r>
      <w:r>
        <w:rPr>
          <w:rFonts w:ascii="Times New Roman" w:hAnsi="Times New Roman" w:eastAsia="Times New Roman" w:cs="Times New Roman"/>
          <w:b w:val="0"/>
          <w:sz w:val="28"/>
        </w:rPr>
        <w:t>”</w:t>
      </w:r>
      <w:r>
        <w:rPr>
          <w:rFonts w:ascii="Times New Roman" w:hAnsi="Times New Roman" w:eastAsia="仿宋" w:cs="Times New Roman"/>
          <w:b w:val="0"/>
          <w:sz w:val="28"/>
        </w:rPr>
        <w:t>）签署《股份转让协议》，约定以13.7元/股向君拓启航转让22,954,085股（占公司总股本10.00%），总价款314,470,965元。7月15日股份过户完成，君拓启航以10.00%持股成为控股股东，章卫国持股降至约3.05%。在A股控股收购实践中，10%通常难以达到控制门槛，但飞鹿股份极度分散的股权结构使这一低比例控股权转移成为现实。这笔交易的达成依赖股权分布的结构性弱点，其后续控制力巩固则取决于治理承接能否将名义控制转化为实质主导。</w:t>
      </w:r>
    </w:p>
    <w:p>
      <w:pPr>
        <w:spacing w:before="0" w:after="0" w:line="240" w:lineRule="auto" w:beforeLines="0" w:afterLines="0"/>
        <w:jc w:val="left"/>
        <w:ind w:firstLineChars="200"/>
      </w:pPr>
      <w:r>
        <w:rPr>
          <w:rFonts w:ascii="Times New Roman" w:hAnsi="Times New Roman" w:eastAsia="仿宋" w:cs="Times New Roman"/>
          <w:b/>
          <w:sz w:val="28"/>
        </w:rPr>
        <w:t>一、极度分散的股权结构是控制权转移的根本前提</w:t>
      </w:r>
    </w:p>
    <w:p>
      <w:pPr>
        <w:spacing w:before="0" w:after="0" w:line="240" w:lineRule="auto" w:beforeLines="0" w:afterLines="0"/>
        <w:jc w:val="both"/>
        <w:ind w:firstLineChars="200"/>
      </w:pPr>
      <w:r>
        <w:rPr>
          <w:rFonts w:ascii="Times New Roman" w:hAnsi="Times New Roman" w:eastAsia="仿宋" w:cs="Times New Roman"/>
          <w:b w:val="0"/>
          <w:sz w:val="28"/>
        </w:rPr>
        <w:t>事实披露边界上，本案可引用的交易对价、估值或支付口径为314,470,965元（22,954,085股，13.7元/股）；时间线包括2026年6月22日：签署《股份转让协议》；2026年7月15日：完成股份过户登记；关键数字包括22,954,085股（转让股份数量）；10.00%（转让股份占公司总股本比例）；13.7元/股（协议转让价格）；314,470,965元（股份转让总价款）。已抓取资料中的财务和经营线索为公开资料未披露。收购方、买方和并购方的购买理由需要回到公开资料未单独披露；依据交易安排，买方通过协议转让取得10%股份，实现控制权变更。；出售方、转让方或预受要约股东的接受安排依据为公开资料未单独披露；依据《股份转让协议》，卖方章卫国以协议转让方式出让股份，获得现金对价314,470,965元。。因此，后文只围绕已披露的股权比例、支付方式、交易价格、资产、客户、产能、技术、治理边界、交割条件、现金流、负债、收入和净利润影响展开，未披露事项作为资料核验边界处理。</w:t>
      </w:r>
    </w:p>
    <w:p>
      <w:pPr>
        <w:spacing w:before="0" w:after="0" w:line="240" w:lineRule="auto" w:beforeLines="0" w:afterLines="0"/>
        <w:jc w:val="both"/>
        <w:ind w:firstLineChars="200"/>
      </w:pPr>
      <w:r>
        <w:rPr>
          <w:rFonts w:ascii="Times New Roman" w:hAnsi="Times New Roman" w:eastAsia="仿宋" w:cs="Times New Roman"/>
          <w:b w:val="0"/>
          <w:sz w:val="28"/>
        </w:rPr>
        <w:t>过户前，章卫国持有飞鹿股份29,966,913股，按总股本约229,540,850股计算，持股比例仅约13.05%；过户后，君拓启航持股22,954,085股（10.00%），章卫国剩余7,012,828股（约3.05%）。据此推算，除原实控人外，公司其他近87%股份由众多股东分散持有，公告未披露存在任何持股超过10%的单一股东或一致行动人。13.05%的实控人持股本就处于较低水平，控制权高度依赖股权分散形成的被动优势，一旦原实控人减持，控制权便迅速易手。君拓启航仅受让10%即被认定为控股股东，正是因为这种分散格局下，10%已是足以对股东大会产生重大影响的最大表决权份额。然而，10%的控制权极端脆弱：其他股东通过征集投票权或形成新的一致行动人，可能轻易汇聚超过10%的表决权。因此，飞鹿股份控制权转移的结构前提极其清晰——股权分布必须足够离散，使得10%能够构成相对优势；这也意味着该案交易模式的可复制性严格受限于目标公司的股权集中度，任何小比例控股权交易在启动前必须精确量化目标公司前几大股东的持股比例及潜在联盟可能性。</w:t>
      </w:r>
    </w:p>
    <w:p>
      <w:pPr>
        <w:spacing w:before="0" w:after="0" w:line="240" w:lineRule="auto" w:beforeLines="0" w:afterLines="0"/>
        <w:jc w:val="both"/>
        <w:ind w:firstLineChars="200"/>
      </w:pPr>
      <w:r>
        <w:rPr>
          <w:rFonts w:ascii="Times New Roman" w:hAnsi="Times New Roman" w:eastAsia="仿宋" w:cs="Times New Roman"/>
          <w:b w:val="0"/>
          <w:sz w:val="28"/>
        </w:rPr>
        <w:t>公开资料未披露君拓启航与飞鹿股份的业务交集或产业协同意图。仅从公司名称看，君拓启航属智能科技领域，飞鹿股份聚焦高分子新材料，双方缺乏显性上下游关联。这一产业断层使该笔3.14亿元现金收购更接近上市平台收购，而非业务整合。缺乏产业逻辑的控股权交易，其后续价值释放只能依赖治理改善或资产注入，但10%的持股难以单方推动重大资产重组（需股东大会三分之二通过），买方必须争取大量中小股东支持。这也意味着，尽管结构前提使交易得以启动，但控制权的最终稳固远非股权登记完成即可达成。</w:t>
      </w:r>
    </w:p>
    <w:p>
      <w:pPr>
        <w:spacing w:before="0" w:after="0" w:line="240" w:lineRule="auto" w:beforeLines="0" w:afterLines="0"/>
        <w:jc w:val="left"/>
        <w:ind w:firstLineChars="200"/>
      </w:pPr>
      <w:r>
        <w:rPr>
          <w:rFonts w:ascii="Times New Roman" w:hAnsi="Times New Roman" w:eastAsia="仿宋" w:cs="Times New Roman"/>
          <w:b/>
          <w:sz w:val="28"/>
        </w:rPr>
        <w:t>二、协议转让与支付安排确保控制权转移的确定性</w:t>
      </w:r>
    </w:p>
    <w:p>
      <w:pPr>
        <w:spacing w:before="0" w:after="0" w:line="240" w:lineRule="auto" w:beforeLines="0" w:afterLines="0"/>
        <w:jc w:val="both"/>
        <w:ind w:firstLineChars="200"/>
      </w:pPr>
      <w:r>
        <w:rPr>
          <w:rFonts w:ascii="Times New Roman" w:hAnsi="Times New Roman" w:eastAsia="仿宋" w:cs="Times New Roman"/>
          <w:b w:val="0"/>
          <w:sz w:val="28"/>
        </w:rPr>
        <w:t>本次交易采用协议转让方式，锁定价格为13.7元/股，对应公司总市值约31.47亿元。因公告未披露定价基准日及市场参考价，外部无法判断折溢价水平，但协议转让本身追求的是确定性：买方避免二级市场增持引发的股价异动和成本失控，卖方亦规避集中减持对市价的冲击，双方以固定价格完成大额股权交割。支付安排进一步强化了交易确定性。公告显示</w:t>
      </w:r>
      <w:r>
        <w:rPr>
          <w:rFonts w:ascii="Times New Roman" w:hAnsi="Times New Roman" w:eastAsia="Times New Roman" w:cs="Times New Roman"/>
          <w:b w:val="0"/>
          <w:sz w:val="28"/>
        </w:rPr>
        <w:t>“</w:t>
      </w:r>
      <w:r>
        <w:rPr>
          <w:rFonts w:ascii="Times New Roman" w:hAnsi="Times New Roman" w:eastAsia="仿宋" w:cs="Times New Roman"/>
          <w:b w:val="0"/>
          <w:sz w:val="28"/>
        </w:rPr>
        <w:t>剩余股份转让款将于股份过户登记至君。</w:t>
      </w:r>
    </w:p>
    <w:p>
      <w:pPr>
        <w:spacing w:before="0" w:after="0" w:line="240" w:lineRule="auto" w:beforeLines="0" w:afterLines="0"/>
        <w:jc w:val="both"/>
        <w:ind w:firstLineChars="200"/>
      </w:pPr>
      <w:r>
        <w:rPr>
          <w:rFonts w:ascii="Times New Roman" w:hAnsi="Times New Roman" w:eastAsia="仿宋" w:cs="Times New Roman"/>
          <w:b w:val="0"/>
          <w:sz w:val="28"/>
        </w:rPr>
        <w:t>买方君拓启航须一次性支付约3.14亿元现金，表明其具备较强的资金实力或明确的融资安排，但资金来源未在公告中披露，其后续是否能持续为上市公司提供运营支持或启动资产注入，是市场关注的未决问题。卖方章卫国通过转让获得大量现金，剩余3.05%股份则受现行减持规则约束，短期内难以大量抛售，这在一定程度上有助于防止控制权变更后原实控人快速离场引发股价波动。整体看，协议转让与支付条款的组合，为控制权平稳过渡提供了基础合约保障，其高效执行已在过户环节得到验证。</w:t>
      </w:r>
    </w:p>
    <w:p>
      <w:pPr>
        <w:spacing w:before="0" w:after="0" w:line="240" w:lineRule="auto" w:beforeLines="0" w:afterLines="0"/>
        <w:jc w:val="left"/>
        <w:ind w:firstLineChars="200"/>
      </w:pPr>
      <w:r>
        <w:rPr>
          <w:rFonts w:ascii="Times New Roman" w:hAnsi="Times New Roman" w:eastAsia="仿宋" w:cs="Times New Roman"/>
          <w:b/>
          <w:sz w:val="28"/>
        </w:rPr>
        <w:t>三、10%控制权的治理风险：名义控制与实质决策权的落差</w:t>
      </w:r>
    </w:p>
    <w:p>
      <w:pPr>
        <w:spacing w:before="0" w:after="0" w:line="240" w:lineRule="auto" w:beforeLines="0" w:afterLines="0"/>
        <w:jc w:val="both"/>
        <w:ind w:firstLineChars="200"/>
      </w:pPr>
      <w:r>
        <w:rPr>
          <w:rFonts w:ascii="Times New Roman" w:hAnsi="Times New Roman" w:eastAsia="仿宋" w:cs="Times New Roman"/>
          <w:b w:val="0"/>
          <w:sz w:val="28"/>
        </w:rPr>
        <w:t>根据《上市公司收购管理办法》，君拓启航10%持股被认定为控制权变更，根源在于飞鹿股份股权高度分散导致该持股比例已对股东大会决议形成重大影响。然而，法律意义上的控制权不等于对董事会和经营决策的实际主导。10%的表决权无法独立否决或通过重大议案，所有决策均需联合其他股东，治理成本高昂。董事会改组是衡量实质控制的关键一步：君拓启航若想提名董事并获股东大会通过，须争取足够多分散股东的支持，这需要复杂的权力协调或经济补偿。公告提及的《详式权益变动报告书》应载有后续安排，但截至过户公告，无任何董事会改组或管理层变动计划披露，控制权交接止于股权层面。</w:t>
      </w:r>
    </w:p>
    <w:p>
      <w:pPr>
        <w:spacing w:before="0" w:after="0" w:line="240" w:lineRule="auto" w:beforeLines="0" w:afterLines="0"/>
        <w:jc w:val="both"/>
        <w:ind w:firstLineChars="200"/>
      </w:pPr>
      <w:r>
        <w:rPr>
          <w:rFonts w:ascii="Times New Roman" w:hAnsi="Times New Roman" w:eastAsia="仿宋" w:cs="Times New Roman"/>
          <w:b w:val="0"/>
          <w:sz w:val="28"/>
        </w:rPr>
        <w:t>控制权稳固性的真正考验在于后续治理整合。10%的持股极易遭受外部资本狙击——任何潜在收购方只需在二级市场收集超过10%的股份，即可挑战君拓启航的第一大股东地位。买方必须在短时间内通过提名董事、构建投资者关系、争取重要股东支持等方式，将股权优势转化为决策主导。在公开资料所示条件下君拓启航无法迅速在董事会中取得多数席位，其控股股东地位可能被架空；一旦其他股东征集。</w:t>
      </w:r>
    </w:p>
    <w:p>
      <w:pPr>
        <w:spacing w:before="0" w:after="0" w:line="240" w:lineRule="auto" w:beforeLines="0" w:afterLines="0"/>
        <w:jc w:val="left"/>
        <w:ind w:firstLineChars="200"/>
      </w:pPr>
      <w:r>
        <w:rPr>
          <w:rFonts w:ascii="Times New Roman" w:hAnsi="Times New Roman" w:eastAsia="仿宋" w:cs="Times New Roman"/>
          <w:b/>
          <w:sz w:val="28"/>
        </w:rPr>
        <w:t>四、合规路径与减持承诺维护控制权短期稳定</w:t>
      </w:r>
    </w:p>
    <w:p>
      <w:pPr>
        <w:spacing w:before="0" w:after="0" w:line="240" w:lineRule="auto" w:beforeLines="0" w:afterLines="0"/>
        <w:jc w:val="both"/>
        <w:ind w:firstLineChars="200"/>
      </w:pPr>
      <w:r>
        <w:rPr>
          <w:rFonts w:ascii="Times New Roman" w:hAnsi="Times New Roman" w:eastAsia="仿宋" w:cs="Times New Roman"/>
          <w:b w:val="0"/>
          <w:sz w:val="28"/>
        </w:rPr>
        <w:t>本次交易不触及要约收购（持股未超30%），程序简洁。公告声明已通过深圳证券交易所合规性审查，并在中国证券登记结算有限责任公司完成过户，取得《证券过户登记确认书》。审查要点通常包括协议真实性、定价公允性、信息披露充分性及是否损害中小股东利益。顺利通过表明文件齐备、定价无明显不当，监管为小比例协议转让控制权提供了通畅路径。同时，交易双方承诺将严格遵守《上市公司股东减持。</w:t>
      </w:r>
    </w:p>
    <w:p>
      <w:pPr>
        <w:spacing w:before="0" w:after="0" w:line="240" w:lineRule="auto" w:beforeLines="0" w:afterLines="0"/>
        <w:jc w:val="both"/>
        <w:ind w:firstLineChars="200"/>
      </w:pPr>
      <w:r>
        <w:rPr>
          <w:rFonts w:ascii="Times New Roman" w:hAnsi="Times New Roman" w:eastAsia="仿宋" w:cs="Times New Roman"/>
          <w:b w:val="0"/>
          <w:sz w:val="28"/>
        </w:rPr>
        <w:t>然而，合规只是交易的起点，承诺本身并不构成强制约束。真正的控制权巩固必须依赖治理机制的落地：董事提名、经营决策参与以及重大事项影响力。监管为交易开了</w:t>
      </w:r>
      <w:r>
        <w:rPr>
          <w:rFonts w:ascii="Times New Roman" w:hAnsi="Times New Roman" w:eastAsia="Times New Roman" w:cs="Times New Roman"/>
          <w:b w:val="0"/>
          <w:sz w:val="28"/>
        </w:rPr>
        <w:t>“</w:t>
      </w:r>
      <w:r>
        <w:rPr>
          <w:rFonts w:ascii="Times New Roman" w:hAnsi="Times New Roman" w:eastAsia="仿宋" w:cs="Times New Roman"/>
          <w:b w:val="0"/>
          <w:sz w:val="28"/>
        </w:rPr>
        <w:t>绿灯</w:t>
      </w:r>
      <w:r>
        <w:rPr>
          <w:rFonts w:ascii="Times New Roman" w:hAnsi="Times New Roman" w:eastAsia="Times New Roman" w:cs="Times New Roman"/>
          <w:b w:val="0"/>
          <w:sz w:val="28"/>
        </w:rPr>
        <w:t>”</w:t>
      </w:r>
      <w:r>
        <w:rPr>
          <w:rFonts w:ascii="Times New Roman" w:hAnsi="Times New Roman" w:eastAsia="仿宋" w:cs="Times New Roman"/>
          <w:b w:val="0"/>
          <w:sz w:val="28"/>
        </w:rPr>
        <w:t>，但市场最终要看买方能否从10%的持股中生长出实际治理能力。对于未来同类交易，这一合规范例说明，在股权分散且无其他复杂博弈时，协议转让可成为高效的控制权转移工具；但同时，监管的</w:t>
      </w:r>
      <w:r>
        <w:rPr>
          <w:rFonts w:ascii="Times New Roman" w:hAnsi="Times New Roman" w:eastAsia="Times New Roman" w:cs="Times New Roman"/>
          <w:b w:val="0"/>
          <w:sz w:val="28"/>
        </w:rPr>
        <w:t>“</w:t>
      </w:r>
      <w:r>
        <w:rPr>
          <w:rFonts w:ascii="Times New Roman" w:hAnsi="Times New Roman" w:eastAsia="仿宋" w:cs="Times New Roman"/>
          <w:b w:val="0"/>
          <w:sz w:val="28"/>
        </w:rPr>
        <w:t>放行</w:t>
      </w:r>
      <w:r>
        <w:rPr>
          <w:rFonts w:ascii="Times New Roman" w:hAnsi="Times New Roman" w:eastAsia="Times New Roman" w:cs="Times New Roman"/>
          <w:b w:val="0"/>
          <w:sz w:val="28"/>
        </w:rPr>
        <w:t>”</w:t>
      </w:r>
      <w:r>
        <w:rPr>
          <w:rFonts w:ascii="Times New Roman" w:hAnsi="Times New Roman" w:eastAsia="仿宋" w:cs="Times New Roman"/>
          <w:b w:val="0"/>
          <w:sz w:val="28"/>
        </w:rPr>
        <w:t>并不解决治理脆弱性，后续整合与稳固才是关键。</w:t>
      </w:r>
    </w:p>
    <w:p>
      <w:pPr>
        <w:spacing w:before="0" w:after="0" w:line="240" w:lineRule="auto" w:beforeLines="0" w:afterLines="0"/>
        <w:jc w:val="left"/>
        <w:ind w:firstLineChars="200"/>
      </w:pPr>
      <w:r>
        <w:rPr>
          <w:rFonts w:ascii="Times New Roman" w:hAnsi="Times New Roman" w:eastAsia="仿宋" w:cs="Times New Roman"/>
          <w:b/>
          <w:sz w:val="28"/>
        </w:rPr>
        <w:t>五、结语：控制权与治理安排的核验方法</w:t>
      </w:r>
    </w:p>
    <w:p>
      <w:pPr>
        <w:spacing w:before="0" w:after="0" w:line="240" w:lineRule="auto" w:beforeLines="0" w:afterLines="0"/>
        <w:jc w:val="both"/>
        <w:ind w:firstLineChars="200"/>
      </w:pPr>
      <w:r>
        <w:rPr>
          <w:rFonts w:ascii="Times New Roman" w:hAnsi="Times New Roman" w:eastAsia="仿宋" w:cs="Times New Roman"/>
          <w:b w:val="0"/>
          <w:sz w:val="28"/>
        </w:rPr>
        <w:t>君拓启航以10%持股取得飞鹿股份控制权，本质上是基于股权分散现状的结构性套利。交易得以达成的先决条件十分清晰：原实控人持股足够低、无其他竞争性大股东、转让后买方可成为第一大股东且形成控制权变更宣告；协议转让提供了价格确定性与程序效率；支付条款将尾款与过户绑定，控制了交割风险；监管路径简洁明确。这些要素共同构成了</w:t>
      </w:r>
      <w:r>
        <w:rPr>
          <w:rFonts w:ascii="Times New Roman" w:hAnsi="Times New Roman" w:eastAsia="Times New Roman" w:cs="Times New Roman"/>
          <w:b w:val="0"/>
          <w:sz w:val="28"/>
        </w:rPr>
        <w:t>“</w:t>
      </w:r>
      <w:r>
        <w:rPr>
          <w:rFonts w:ascii="Times New Roman" w:hAnsi="Times New Roman" w:eastAsia="仿宋" w:cs="Times New Roman"/>
          <w:b w:val="0"/>
          <w:sz w:val="28"/>
        </w:rPr>
        <w:t>以少控多</w:t>
      </w:r>
      <w:r>
        <w:rPr>
          <w:rFonts w:ascii="Times New Roman" w:hAnsi="Times New Roman" w:eastAsia="Times New Roman" w:cs="Times New Roman"/>
          <w:b w:val="0"/>
          <w:sz w:val="28"/>
        </w:rPr>
        <w:t>”</w:t>
      </w:r>
      <w:r>
        <w:rPr>
          <w:rFonts w:ascii="Times New Roman" w:hAnsi="Times New Roman" w:eastAsia="仿宋" w:cs="Times New Roman"/>
          <w:b w:val="0"/>
          <w:sz w:val="28"/>
        </w:rPr>
        <w:t>的可行性框架。</w:t>
      </w:r>
    </w:p>
    <w:p>
      <w:pPr>
        <w:spacing w:before="0" w:after="0" w:line="240" w:lineRule="auto" w:beforeLines="0" w:afterLines="0"/>
        <w:jc w:val="both"/>
        <w:ind w:firstLineChars="200"/>
      </w:pPr>
      <w:r>
        <w:rPr>
          <w:rFonts w:ascii="Times New Roman" w:hAnsi="Times New Roman" w:eastAsia="仿宋" w:cs="Times New Roman"/>
          <w:b w:val="0"/>
          <w:sz w:val="28"/>
        </w:rPr>
        <w:t>但本案例也暴露了小比例控股权交易的系统性短板。产业判断的缺失使这笔交易更接近平台收购，缺乏业务整合逻辑支撑，导致后续资本运作难以获得中小股东信任；10%的持股极易受外部资本冲击，控制权极端脆弱；治理接管的推进——尤其是董事会改组能否成功——将决定这笔交易是完成上市公司改造还是停留于一次低水平控制权转移。从方法论角度看，飞鹿股份案例提醒市场：此类交易启动前必须精准量化股权分布、模拟表决权格局、评估产业协同可行性，并预备应对中小股东联盟的预案。当持股比例低至10%时，控制权如同一张薄纸，唯有结合治理技术、产业逻辑与合规安排，才能将其锻造成稳固的壁垒。对于参与控股权并购的机构而言，本案的核心启示在于：股权结构前提只是入场券，治理承接才是真正的考场。</w:t>
      </w:r>
    </w:p>
    <w:p>
      <w:pPr>
        <w:spacing w:before="0" w:after="0" w:line="240" w:lineRule="auto" w:beforeLines="0" w:afterLines="0"/>
        <w:jc w:val="both"/>
        <w:ind w:firstLineChars="200"/>
      </w:pPr>
      <w:r>
        <w:rPr>
          <w:rFonts w:ascii="Times New Roman" w:hAnsi="Times New Roman" w:eastAsia="仿宋" w:cs="Times New Roman"/>
          <w:b w:val="0"/>
          <w:sz w:val="28"/>
        </w:rPr>
        <w:t>回到君拓启航与飞鹿股份10%股份，本案的方法论意义不在于把交易结果写成通用并购总结，而在于把314,470,965元（22,954,085股，13.7元/股）、22,954,085股（转让股份数量）；10.00%（转让股份占公司总股本比例）；13.7元/股（协议转让价格）；314,470,965元（股份转让总价款）、控制权、股权比例、支付方式和交割条件放在同一披露链条中核验。因此，同类并购首先要确认信息披露是否足以支撑估值锚、条款安排、治理边界和交易执行；其次要把产业链位置、客户结构、产能、技术路线、资源禀赋和商业模式放回标的业务承接中判断；最后才评估收入、净利润、现金流、负债、资产、市值、订单、客户和用户等财务影响。对君拓启航而言，关键是交割承接和整合节奏能否与已披露安排匹配；对飞鹿股份10%股份而言，关键是控制权或股东接受机制能否在公开资料边界内被持续验证。</w:t>
      </w:r>
    </w:p>
    <w:sectPr w:rsidR="00FC693F" w:rsidRPr="0006063C" w:rsidSect="00034616">
      <w:pgSz w:w="11906" w:h="16838"/>
      <w:pgMar w:top="1440" w:right="1800" w:bottom="1440" w:left="1800" w:header="720" w:footer="720" w:gutter="0"/>
      <w:cols w:space="720"/>
      <w:docGrid w:linePitch="312" w:type="line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beforeLines="0" w:afterLines="0"/>
      <w:jc w:val="both"/>
      <w:ind w:firstLineChars="200"/>
    </w:pPr>
    <w:rPr>
      <w:rFonts w:ascii="Times New Roman" w:hAnsi="Times New Roman"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0" w:before="0" w:line="240" w:lineRule="auto" w:beforeLines="0" w:afterLines="0"/>
      <w:jc w:val="both"/>
      <w:ind w:firstLineChars="200"/>
    </w:pPr>
    <w:rPr>
      <w:rFonts w:ascii="Times New Roman" w:hAnsi="Times New Roman" w:eastAsia="仿宋"/>
      <w:sz w:val="2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