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厦门正悦昱发企业管理收购宏发股份5%股份：协议转让与交割条件</w:t>
      </w:r>
    </w:p>
    <w:p>
      <w:pPr>
        <w:spacing w:before="0" w:after="0" w:line="240" w:lineRule="auto" w:beforeLines="0" w:afterLines="0"/>
        <w:jc w:val="both"/>
        <w:ind w:firstLineChars="200"/>
      </w:pPr>
      <w:r>
        <w:rPr>
          <w:rFonts w:ascii="Times New Roman" w:hAnsi="Times New Roman" w:eastAsia="仿宋" w:cs="Times New Roman"/>
          <w:b w:val="0"/>
          <w:sz w:val="28"/>
        </w:rPr>
        <w:t>本案例涉及厦门正悦昱发企业管理合伙企业（有限合伙）（下称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厦门正悦昱发企业管理</w:t>
      </w:r>
      <w:r>
        <w:rPr>
          <w:rFonts w:ascii="Times New Roman" w:hAnsi="Times New Roman" w:eastAsia="Times New Roman" w:cs="Times New Roman"/>
          <w:b w:val="0"/>
          <w:sz w:val="28"/>
        </w:rPr>
        <w:t>”</w:t>
      </w:r>
      <w:r>
        <w:rPr>
          <w:rFonts w:ascii="Times New Roman" w:hAnsi="Times New Roman" w:eastAsia="仿宋" w:cs="Times New Roman"/>
          <w:b w:val="0"/>
          <w:sz w:val="28"/>
        </w:rPr>
        <w:t>）收购宏发股份5%股份（下称</w:t>
      </w:r>
      <w:r>
        <w:rPr>
          <w:rFonts w:ascii="Times New Roman" w:hAnsi="Times New Roman" w:eastAsia="Times New Roman" w:cs="Times New Roman"/>
          <w:b w:val="0"/>
          <w:sz w:val="28"/>
        </w:rPr>
        <w:t>“</w:t>
      </w:r>
      <w:r>
        <w:rPr>
          <w:rFonts w:ascii="Times New Roman" w:hAnsi="Times New Roman" w:eastAsia="仿宋" w:cs="Times New Roman"/>
          <w:b w:val="0"/>
          <w:sz w:val="28"/>
        </w:rPr>
        <w:t>宏发股份5%股份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宏发股份：关于控股股东协议转让公司部分股份过户完成的更正公告，目标线索为fg证券代码：600885证券简称：宏发股份公告编号：2026- 028关于控股股东协议转让公司部分股份过户完成的更正公告本公司董事会、全体董事及相关股东保证本公告内容不存在任何虚假记载、 误导性陈述或者重大遗漏，并对其内容的真实性、准确性和完整性承担法律责任。；宏发科技股份有限公司（下称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公司</w:t>
      </w:r>
      <w:r>
        <w:rPr>
          <w:rFonts w:ascii="Times New Roman" w:hAnsi="Times New Roman" w:eastAsia="Times New Roman" w:cs="Times New Roman"/>
          <w:b w:val="0"/>
          <w:sz w:val="28"/>
        </w:rPr>
        <w:t>”</w:t>
      </w:r>
      <w:r>
        <w:rPr>
          <w:rFonts w:ascii="Times New Roman" w:hAnsi="Times New Roman" w:eastAsia="仿宋" w:cs="Times New Roman"/>
          <w:b w:val="0"/>
          <w:sz w:val="28"/>
        </w:rPr>
        <w:t>）于2026年7月7日在上海证券交易所网站（http://。2026年4月7日，宏发科技股份有限公司（下称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宏发股份</w:t>
      </w:r>
      <w:r>
        <w:rPr>
          <w:rFonts w:ascii="Times New Roman" w:hAnsi="Times New Roman" w:eastAsia="Times New Roman" w:cs="Times New Roman"/>
          <w:b w:val="0"/>
          <w:sz w:val="28"/>
        </w:rPr>
        <w:t>”</w:t>
      </w:r>
      <w:r>
        <w:rPr>
          <w:rFonts w:ascii="Times New Roman" w:hAnsi="Times New Roman" w:eastAsia="仿宋" w:cs="Times New Roman"/>
          <w:b w:val="0"/>
          <w:sz w:val="28"/>
        </w:rPr>
        <w:t>，600885）控股股东有格创业投资有限公司（下称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有格投资</w:t>
      </w:r>
      <w:r>
        <w:rPr>
          <w:rFonts w:ascii="Times New Roman" w:hAnsi="Times New Roman" w:eastAsia="Times New Roman" w:cs="Times New Roman"/>
          <w:b w:val="0"/>
          <w:sz w:val="28"/>
        </w:rPr>
        <w:t>”</w:t>
      </w:r>
      <w:r>
        <w:rPr>
          <w:rFonts w:ascii="Times New Roman" w:hAnsi="Times New Roman" w:eastAsia="仿宋" w:cs="Times New Roman"/>
          <w:b w:val="0"/>
          <w:sz w:val="28"/>
        </w:rPr>
        <w:t>）与厦门正悦昱发企业管理合伙企业（有限合伙）（下称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正悦昱发</w:t>
      </w:r>
      <w:r>
        <w:rPr>
          <w:rFonts w:ascii="Times New Roman" w:hAnsi="Times New Roman" w:eastAsia="Times New Roman" w:cs="Times New Roman"/>
          <w:b w:val="0"/>
          <w:sz w:val="28"/>
        </w:rPr>
        <w:t>”</w:t>
      </w:r>
      <w:r>
        <w:rPr>
          <w:rFonts w:ascii="Times New Roman" w:hAnsi="Times New Roman" w:eastAsia="仿宋" w:cs="Times New Roman"/>
          <w:b w:val="0"/>
          <w:sz w:val="28"/>
        </w:rPr>
        <w:t>）签署《股份转让协议》，有格投资通过协议转让方式向正悦昱发出售77,380,000股（占公司总股本5.00%），转让价格23.013元/股，交易金额1,780,745,940元。公开资料未披露双方接洽过程、有格投资的减持动因及正悦昱发的入股目的。本次转让经上海证券交易所合规性确认后，于2026年7月3日完成股份过户登记，股份性质为无限售流通股。交易前有格投资作为控股股东的持股比例未在公告中载明，转让5%股份后其控制权地位未发生动摇，上市公司亦未披露经营异常或产业异动。该安排使控股股东在不触发控制权变更的前提下实现约17.8亿元资金回笼，同时为宏发股份引入持股达5%的PE股东。其定价确定性、交割效率与后续治理权利的模糊状态，构成观察</w:t>
      </w:r>
      <w:r>
        <w:rPr>
          <w:rFonts w:ascii="Times New Roman" w:hAnsi="Times New Roman" w:eastAsia="Times New Roman" w:cs="Times New Roman"/>
          <w:b w:val="0"/>
          <w:sz w:val="28"/>
        </w:rPr>
        <w:t>“</w:t>
      </w:r>
      <w:r>
        <w:rPr>
          <w:rFonts w:ascii="Times New Roman" w:hAnsi="Times New Roman" w:eastAsia="仿宋" w:cs="Times New Roman"/>
          <w:b w:val="0"/>
          <w:sz w:val="28"/>
        </w:rPr>
        <w:t>上市公司+PE</w:t>
      </w:r>
      <w:r>
        <w:rPr>
          <w:rFonts w:ascii="Times New Roman" w:hAnsi="Times New Roman" w:eastAsia="Times New Roman" w:cs="Times New Roman"/>
          <w:b w:val="0"/>
          <w:sz w:val="28"/>
        </w:rPr>
        <w:t>”</w:t>
      </w:r>
      <w:r>
        <w:rPr>
          <w:rFonts w:ascii="Times New Roman" w:hAnsi="Times New Roman" w:eastAsia="仿宋" w:cs="Times New Roman"/>
          <w:b w:val="0"/>
          <w:sz w:val="28"/>
        </w:rPr>
        <w:t>模式下少数股权交易价值的典型样本。</w:t>
      </w:r>
    </w:p>
    <w:p>
      <w:pPr>
        <w:spacing w:before="0" w:after="0" w:line="240" w:lineRule="auto" w:beforeLines="0" w:afterLines="0"/>
        <w:jc w:val="left"/>
        <w:ind w:firstLineChars="200"/>
      </w:pPr>
      <w:r>
        <w:rPr>
          <w:rFonts w:ascii="Times New Roman" w:hAnsi="Times New Roman" w:eastAsia="仿宋" w:cs="Times New Roman"/>
          <w:b/>
          <w:sz w:val="28"/>
        </w:rPr>
        <w:t>一、交易前状态与发起路径：控制权刚性下的存量股份变现</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1,780,745,940元人民币（23.013元/股，773,800,000股，占5.00%）；按773,800,000股和23.013元/股测算，金额上限约17,807,459,400元；时间线包括2026年4月7日：签署《股份转让协议》；2026年7月3日：股份过户登记完成；关键数字包括23.013；公告未描述交易前有格投资的持股细节及宏发股份的经营数据，但从转让5%股份后控股股东地位未变的事实可以反推，有格投资原持股比例应明显高于5%，且本次交易未触发《上市公司收购管理办法》规定的权益变动披露红线之外的控制权转移。对控股股东而言，以协议转让方式处置存量股份，是在保持控制权刚性的前提下实现大额现金回笼的典型技术选择。与二级市场减持相比，协议转让可一次性完。</w:t>
      </w:r>
    </w:p>
    <w:p>
      <w:pPr>
        <w:spacing w:before="0" w:after="0" w:line="240" w:lineRule="auto" w:beforeLines="0" w:afterLines="0"/>
        <w:jc w:val="both"/>
        <w:ind w:firstLineChars="200"/>
      </w:pPr>
      <w:r>
        <w:rPr>
          <w:rFonts w:ascii="Times New Roman" w:hAnsi="Times New Roman" w:eastAsia="仿宋" w:cs="Times New Roman"/>
          <w:b w:val="0"/>
          <w:sz w:val="28"/>
        </w:rPr>
        <w:t>对正悦昱发而言，以协议转让方式建仓至5%举牌线，规避了在公开市场持续增持时的成本抬升及信息披露时点难以控制的风险。依照《证券法》规定，持股达5%后须编制权益变动报告书，但公告未显示正悦昱发后续是否履行该义务，亦未披露其资金来源、普通合伙人背景或投资期限等关键信息。双方跳过经纪商、交易所竞价系统等中间环节直接议价，使交易能在签约后的约三个月内完成过户，将签约意。</w:t>
      </w:r>
    </w:p>
    <w:p>
      <w:pPr>
        <w:spacing w:before="0" w:after="0" w:line="240" w:lineRule="auto" w:beforeLines="0" w:afterLines="0"/>
        <w:jc w:val="left"/>
        <w:ind w:firstLineChars="200"/>
      </w:pPr>
      <w:r>
        <w:rPr>
          <w:rFonts w:ascii="Times New Roman" w:hAnsi="Times New Roman" w:eastAsia="仿宋" w:cs="Times New Roman"/>
          <w:b/>
          <w:sz w:val="28"/>
        </w:rPr>
        <w:t>二、定价机制与交割效率：23.013元/股的估值锚定及锁定期约束</w:t>
      </w:r>
    </w:p>
    <w:p>
      <w:pPr>
        <w:spacing w:before="0" w:after="0" w:line="240" w:lineRule="auto" w:beforeLines="0" w:afterLines="0"/>
        <w:jc w:val="both"/>
        <w:ind w:firstLineChars="200"/>
      </w:pPr>
      <w:r>
        <w:rPr>
          <w:rFonts w:ascii="Times New Roman" w:hAnsi="Times New Roman" w:eastAsia="仿宋" w:cs="Times New Roman"/>
          <w:b w:val="0"/>
          <w:sz w:val="28"/>
        </w:rPr>
        <w:t>协议转让的价格锁定是本案交易结构的核心。23.013元/股的单价是双方协商的结果，虽公告未披露其相对于签约前市场均价的具体折价或溢价水平，但固定对价本身意味着双方共同确认了宏发股份在该时点5%股份的基准估值，对应上市公司整体市值约356亿元。卖方据此获得确定的套现金额1,780,745,940元，不为过户后股价涨跌所扰动；买方则明确了建仓成本，并在此基础上评。</w:t>
      </w:r>
    </w:p>
    <w:p>
      <w:pPr>
        <w:spacing w:before="0" w:after="0" w:line="240" w:lineRule="auto" w:beforeLines="0" w:afterLines="0"/>
        <w:jc w:val="both"/>
        <w:ind w:firstLineChars="200"/>
      </w:pPr>
      <w:r>
        <w:rPr>
          <w:rFonts w:ascii="Times New Roman" w:hAnsi="Times New Roman" w:eastAsia="仿宋" w:cs="Times New Roman"/>
          <w:b w:val="0"/>
          <w:sz w:val="28"/>
        </w:rPr>
        <w:t>估值锁定与交割确定的结合，使交易跳脱出二级市场价格波动的影响。卖方固定售价，不在交割后因股价涨跌调整对价；买方虽接受锁定期限制，但换取了快速取得重要股东身份的权利。这种结构体现了双方对交易安全性、完成速度的高度关切，也反映出即使面对六个月流动性受限，PE仍愿接纳这一代价以获取持股5%的门槛地位。然而，定价基准的不透明削弱了这一机制的正面效果：市场既无法判断2。</w:t>
      </w:r>
    </w:p>
    <w:p>
      <w:pPr>
        <w:spacing w:before="0" w:after="0" w:line="240" w:lineRule="auto" w:beforeLines="0" w:afterLines="0"/>
        <w:jc w:val="left"/>
        <w:ind w:firstLineChars="200"/>
      </w:pPr>
      <w:r>
        <w:rPr>
          <w:rFonts w:ascii="Times New Roman" w:hAnsi="Times New Roman" w:eastAsia="仿宋" w:cs="Times New Roman"/>
          <w:b/>
          <w:sz w:val="28"/>
        </w:rPr>
        <w:t>三、卖方减持的或有逻辑：17.8亿元回笼后的资金用途判断与观察窗口</w:t>
      </w:r>
    </w:p>
    <w:p>
      <w:pPr>
        <w:spacing w:before="0" w:after="0" w:line="240" w:lineRule="auto" w:beforeLines="0" w:afterLines="0"/>
        <w:jc w:val="both"/>
        <w:ind w:firstLineChars="200"/>
      </w:pPr>
      <w:r>
        <w:rPr>
          <w:rFonts w:ascii="Times New Roman" w:hAnsi="Times New Roman" w:eastAsia="仿宋" w:cs="Times New Roman"/>
          <w:b w:val="0"/>
          <w:sz w:val="28"/>
        </w:rPr>
        <w:t>公告未载明有格投资出售股份的具体原因及所得资金拟投入方向，但从控股股东仍保留控制权的事实推断，本次减持并非因控制权更迭而被迫处置资产。有格投资可能面临多种资金需求：或用于偿还自身债务以降低股票质押率，或为旗下其他产业板块提供流动性，亦可能旨在优化持股结构、引入战略协同方。无论何者，17.8亿元现金在短短三个月内到位，客观上增强了控股股东的资金腾挪空间。交易完。</w:t>
      </w:r>
    </w:p>
    <w:p>
      <w:pPr>
        <w:spacing w:before="0" w:after="0" w:line="240" w:lineRule="auto" w:beforeLines="0" w:afterLines="0"/>
        <w:jc w:val="both"/>
        <w:ind w:firstLineChars="200"/>
      </w:pPr>
      <w:r>
        <w:rPr>
          <w:rFonts w:ascii="Times New Roman" w:hAnsi="Times New Roman" w:eastAsia="仿宋" w:cs="Times New Roman"/>
          <w:b w:val="0"/>
          <w:sz w:val="28"/>
        </w:rPr>
        <w:t>后续观察有格投资是否进一步减持或增持，以及其资金用途的实际指向，将成为验证本次交易真实动因的关键。若在未来六个月锁定期结束后，正悦昱发未行减持，且有格投资亦未再减持，则交易更接近长期股权合作；若正悦昱发期满即减持，则其入股更偏向短期财务配置；若有格投资后续再次协议转让股份，则可能显示控股股东正在逐步收缩持股。当前阶段，基于有限信息只能确认该笔交易已安全交割，卖方顺利实现大额现金回收，但无法判断其是否服务于更长期的资本运作目标。</w:t>
      </w:r>
    </w:p>
    <w:p>
      <w:pPr>
        <w:spacing w:before="0" w:after="0" w:line="240" w:lineRule="auto" w:beforeLines="0" w:afterLines="0"/>
        <w:jc w:val="left"/>
        <w:ind w:firstLineChars="200"/>
      </w:pPr>
      <w:r>
        <w:rPr>
          <w:rFonts w:ascii="Times New Roman" w:hAnsi="Times New Roman" w:eastAsia="仿宋" w:cs="Times New Roman"/>
          <w:b/>
          <w:sz w:val="28"/>
        </w:rPr>
        <w:t>四、买方5%持股的权利与实效：法定工具与治理话语权的落差</w:t>
      </w:r>
    </w:p>
    <w:p>
      <w:pPr>
        <w:spacing w:before="0" w:after="0" w:line="240" w:lineRule="auto" w:beforeLines="0" w:afterLines="0"/>
        <w:jc w:val="both"/>
        <w:ind w:firstLineChars="200"/>
      </w:pPr>
      <w:r>
        <w:rPr>
          <w:rFonts w:ascii="Times New Roman" w:hAnsi="Times New Roman" w:eastAsia="仿宋" w:cs="Times New Roman"/>
          <w:b w:val="0"/>
          <w:sz w:val="28"/>
        </w:rPr>
        <w:t>正悦昱发取得宏发股份5%股份（下称</w:t>
      </w:r>
      <w:r>
        <w:rPr>
          <w:rFonts w:ascii="Times New Roman" w:hAnsi="Times New Roman" w:eastAsia="Times New Roman" w:cs="Times New Roman"/>
          <w:b w:val="0"/>
          <w:sz w:val="28"/>
        </w:rPr>
        <w:t>“</w:t>
      </w:r>
      <w:r>
        <w:rPr>
          <w:rFonts w:ascii="Times New Roman" w:hAnsi="Times New Roman" w:eastAsia="仿宋" w:cs="Times New Roman"/>
          <w:b w:val="0"/>
          <w:sz w:val="28"/>
        </w:rPr>
        <w:t>宏发股份5%股份</w:t>
      </w:r>
      <w:r>
        <w:rPr>
          <w:rFonts w:ascii="Times New Roman" w:hAnsi="Times New Roman" w:eastAsia="Times New Roman" w:cs="Times New Roman"/>
          <w:b w:val="0"/>
          <w:sz w:val="28"/>
        </w:rPr>
        <w:t>”</w:t>
      </w:r>
      <w:r>
        <w:rPr>
          <w:rFonts w:ascii="Times New Roman" w:hAnsi="Times New Roman" w:eastAsia="仿宋" w:cs="Times New Roman"/>
          <w:b w:val="0"/>
          <w:sz w:val="28"/>
        </w:rPr>
        <w:t>）后，依据《公司法》第一百零二条享有临时提案权，依据第一百条可与其他股东联合提议召开临时股东大会，并可查阅会计账簿、复制董事会会议记录等。但公告未载明其是否同时获得董事提名权、是否与控股股东或其他方签署一致行动协议，亦未透露未来是否计划进一步增持或参与公司治理。由此，这5%的投票权在当前时点更接近被动财务。</w:t>
      </w:r>
    </w:p>
    <w:p>
      <w:pPr>
        <w:spacing w:before="0" w:after="0" w:line="240" w:lineRule="auto" w:beforeLines="0" w:afterLines="0"/>
        <w:jc w:val="both"/>
        <w:ind w:firstLineChars="200"/>
      </w:pPr>
      <w:r>
        <w:rPr>
          <w:rFonts w:ascii="Times New Roman" w:hAnsi="Times New Roman" w:eastAsia="仿宋" w:cs="Times New Roman"/>
          <w:b w:val="0"/>
          <w:sz w:val="28"/>
        </w:rPr>
        <w:t>六个月锁定期届满后，正悦昱发是否继续持有、增持或减持，是判断其真实入股意图的重要信号。若其维持持股并尝试与董事会建立正式沟通机制，或通过提名非独立董事参与战略制定，则5%的持股将从法律上的最低举牌线升级为具有实际制衡效力的治理节点；反之，若锁定期满即部分或全部减持，则本次入股将褪色为单纯的套利窗口。当前信息披露的不充分，将这一判断悬置，投资者只能依赖后续的定。</w:t>
      </w:r>
    </w:p>
    <w:p>
      <w:pPr>
        <w:spacing w:before="0" w:after="0" w:line="240" w:lineRule="auto" w:beforeLines="0" w:afterLines="0"/>
        <w:jc w:val="left"/>
        <w:ind w:firstLineChars="200"/>
      </w:pPr>
      <w:r>
        <w:rPr>
          <w:rFonts w:ascii="Times New Roman" w:hAnsi="Times New Roman" w:eastAsia="仿宋" w:cs="Times New Roman"/>
          <w:b/>
          <w:sz w:val="28"/>
        </w:rPr>
        <w:t>五、信息缺位对交易价值的侵蚀：协议转让中PE身份与承诺的披露义务</w:t>
      </w:r>
    </w:p>
    <w:p>
      <w:pPr>
        <w:spacing w:before="0" w:after="0" w:line="240" w:lineRule="auto" w:beforeLines="0" w:afterLines="0"/>
        <w:jc w:val="both"/>
        <w:ind w:firstLineChars="200"/>
      </w:pPr>
      <w:r>
        <w:rPr>
          <w:rFonts w:ascii="Times New Roman" w:hAnsi="Times New Roman" w:eastAsia="仿宋" w:cs="Times New Roman"/>
          <w:b w:val="0"/>
          <w:sz w:val="28"/>
        </w:rPr>
        <w:t>在</w:t>
      </w:r>
      <w:r>
        <w:rPr>
          <w:rFonts w:ascii="Times New Roman" w:hAnsi="Times New Roman" w:eastAsia="Times New Roman" w:cs="Times New Roman"/>
          <w:b w:val="0"/>
          <w:sz w:val="28"/>
        </w:rPr>
        <w:t>“</w:t>
      </w:r>
      <w:r>
        <w:rPr>
          <w:rFonts w:ascii="Times New Roman" w:hAnsi="Times New Roman" w:eastAsia="仿宋" w:cs="Times New Roman"/>
          <w:b w:val="0"/>
          <w:sz w:val="28"/>
        </w:rPr>
        <w:t>上市公司+PE</w:t>
      </w:r>
      <w:r>
        <w:rPr>
          <w:rFonts w:ascii="Times New Roman" w:hAnsi="Times New Roman" w:eastAsia="Times New Roman" w:cs="Times New Roman"/>
          <w:b w:val="0"/>
          <w:sz w:val="28"/>
        </w:rPr>
        <w:t>”</w:t>
      </w:r>
      <w:r>
        <w:rPr>
          <w:rFonts w:ascii="Times New Roman" w:hAnsi="Times New Roman" w:eastAsia="仿宋" w:cs="Times New Roman"/>
          <w:b w:val="0"/>
          <w:sz w:val="28"/>
        </w:rPr>
        <w:t>的交易模式下，有限合伙企业作为持股主体，其普通合伙人、有限合伙人构成、投资期限、资金来源及业绩记录往往决定了投资性质的稳定性。正悦昱发以有限合伙企业形式入股，但公告未披露其普通合伙人背景、是否包含国资成分、存续期限或投资决策机制，市场无法判断其是否为纯粹财务投资者、具备产业整合能力的战略投资者，或是与有格投资存在隐性关联的资本平台。这一信。</w:t>
      </w:r>
    </w:p>
    <w:p>
      <w:pPr>
        <w:spacing w:before="0" w:after="0" w:line="240" w:lineRule="auto" w:beforeLines="0" w:afterLines="0"/>
        <w:jc w:val="both"/>
        <w:ind w:firstLineChars="200"/>
      </w:pPr>
      <w:r>
        <w:rPr>
          <w:rFonts w:ascii="Times New Roman" w:hAnsi="Times New Roman" w:eastAsia="仿宋" w:cs="Times New Roman"/>
          <w:b w:val="0"/>
          <w:sz w:val="28"/>
        </w:rPr>
        <w:t>协议转让因其私密性和定制化优势，常被用于引入战略股东或优化股权结构，但正因少了公开竞价的透明度兜底，对信息披露的充分性要求应更高。本案中，受让方未主动披露持股目的、后续增减持框架及是否谋求董事席位，上市公司亦未就此进行补充说明，导致交易完成后市场仍需等待被动披露。这种治理留白在法规上公开资料未进一步披露合规，但从交易实效看，它会抬升外部投资者的信息成本，使5。</w:t>
      </w:r>
    </w:p>
    <w:p>
      <w:pPr>
        <w:spacing w:before="0" w:after="0" w:line="240" w:lineRule="auto" w:beforeLines="0" w:afterLines="0"/>
        <w:jc w:val="left"/>
        <w:ind w:firstLineChars="200"/>
      </w:pPr>
      <w:r>
        <w:rPr>
          <w:rFonts w:ascii="Times New Roman" w:hAnsi="Times New Roman" w:eastAsia="仿宋" w:cs="Times New Roman"/>
          <w:b/>
          <w:sz w:val="28"/>
        </w:rPr>
        <w:t>六、结语：协议转让与交割条件的核验方法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有格投资以23.013元/股、总价1,780,745,940元向正悦昱发出售宏发股份5%股份，交易在2026年4月7日签约，7月3日完成过户，历时不足三个月，体现了协议转让的高交割效率。然而，未附董事提名权或一致行动安排的5%持股，当前更接近一笔锁定期的财务投资；其能否转化为具有实质影响力的治理节点，完全取决于正悦昱发后续的主动行权及信息披露。卖方虽实现约17.8亿元资金回笼，但其真实动机同样未予明示，使得交易的战略意义悬而未决。</w:t>
      </w:r>
    </w:p>
    <w:p>
      <w:pPr>
        <w:spacing w:before="0" w:after="0" w:line="240" w:lineRule="auto" w:beforeLines="0" w:afterLines="0"/>
        <w:jc w:val="both"/>
        <w:ind w:firstLineChars="200"/>
      </w:pPr>
      <w:r>
        <w:rPr>
          <w:rFonts w:ascii="Times New Roman" w:hAnsi="Times New Roman" w:eastAsia="仿宋" w:cs="Times New Roman"/>
          <w:b w:val="0"/>
          <w:sz w:val="28"/>
        </w:rPr>
        <w:t>本案的方法论意义不在于复述协议转让的优势，而在于揭示一个常被忽略的事实：定价锁定与交割效率并不自动等同于交易价值的充分实现。在</w:t>
      </w:r>
      <w:r>
        <w:rPr>
          <w:rFonts w:ascii="Times New Roman" w:hAnsi="Times New Roman" w:eastAsia="Times New Roman" w:cs="Times New Roman"/>
          <w:b w:val="0"/>
          <w:sz w:val="28"/>
        </w:rPr>
        <w:t>“</w:t>
      </w:r>
      <w:r>
        <w:rPr>
          <w:rFonts w:ascii="Times New Roman" w:hAnsi="Times New Roman" w:eastAsia="仿宋" w:cs="Times New Roman"/>
          <w:b w:val="0"/>
          <w:sz w:val="28"/>
        </w:rPr>
        <w:t>上市公司+PE</w:t>
      </w:r>
      <w:r>
        <w:rPr>
          <w:rFonts w:ascii="Times New Roman" w:hAnsi="Times New Roman" w:eastAsia="Times New Roman" w:cs="Times New Roman"/>
          <w:b w:val="0"/>
          <w:sz w:val="28"/>
        </w:rPr>
        <w:t>”</w:t>
      </w:r>
      <w:r>
        <w:rPr>
          <w:rFonts w:ascii="Times New Roman" w:hAnsi="Times New Roman" w:eastAsia="仿宋" w:cs="Times New Roman"/>
          <w:b w:val="0"/>
          <w:sz w:val="28"/>
        </w:rPr>
        <w:t>的股权合作中，少数股权投资的真实权重由三项要素共同决定：定价基准的透明度、买方资信与投资承诺的可验证性，以及治理权利的明确授予。当后两项处于悬置状态时，即使定价和交割环节无瑕疵，市场也会对这笔5%持股施以折扣。对筹划类似交易的参与方而言，主动、前置的信息披露，是减少估值折价、赢得市场信任并令少数股权产生增量价值的关键前提。</w:t>
      </w:r>
    </w:p>
    <w:p>
      <w:pPr>
        <w:spacing w:before="0" w:after="0" w:line="240" w:lineRule="auto" w:beforeLines="0" w:afterLines="0"/>
        <w:jc w:val="both"/>
        <w:ind w:firstLineChars="200"/>
      </w:pPr>
      <w:r>
        <w:rPr>
          <w:rFonts w:ascii="Times New Roman" w:hAnsi="Times New Roman" w:eastAsia="仿宋" w:cs="Times New Roman"/>
          <w:b w:val="0"/>
          <w:sz w:val="28"/>
        </w:rPr>
        <w:t>回到厦门正悦昱发企业管理与宏发股份5%股份，本案的方法论意义不在于把交易结果写成通用并购总结，而在于把1,780,745,940元人民币（23.013元/股，773,800,000股，占5.00%）；按773,800,000股和23.013元/股测算，金额上限约17,807,459,400元、23.013元/股；773,800,000股；5.00%；1,780,745,940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厦门正悦昱发企业管理而言，关键是交割承接和整合节奏能否与已披露安排匹配；对宏发股份5%股份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