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生材集团与重庆渝富控收购渝三峡ａ40.55%：协议转让与交割条件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本案例涉及生材集团与重庆渝富控股集团有限公司（下称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生材与重庆渝富</w:t>
      </w:r>
      <w:r>
        <w:rPr>
          <w:rFonts w:ascii="Times New Roman" w:hAnsi="Times New Roman" w:eastAsia="Times New Roman" w:cs="Times New Roman"/>
          <w:b w:val="0"/>
          <w:sz w:val="28"/>
        </w:rPr>
        <w:t>”</w:t>
      </w:r>
      <w:r>
        <w:rPr>
          <w:rFonts w:ascii="Times New Roman" w:hAnsi="Times New Roman" w:eastAsia="仿宋" w:cs="Times New Roman"/>
          <w:b w:val="0"/>
          <w:sz w:val="28"/>
        </w:rPr>
        <w:t>）收购渝三峡ａ40.55%股份（下称</w:t>
      </w:r>
      <w:r>
        <w:rPr>
          <w:rFonts w:ascii="Times New Roman" w:hAnsi="Times New Roman" w:eastAsia="Times New Roman" w:cs="Times New Roman"/>
          <w:b w:val="0"/>
          <w:sz w:val="28"/>
        </w:rPr>
        <w:t>“</w:t>
      </w:r>
      <w:r>
        <w:rPr>
          <w:rFonts w:ascii="Times New Roman" w:hAnsi="Times New Roman" w:eastAsia="仿宋" w:cs="Times New Roman"/>
          <w:b w:val="0"/>
          <w:sz w:val="28"/>
        </w:rPr>
        <w:t>渝三峡ａ40.55%股份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2026-030：关于控股股东协议转让公司部分股份过户完成的公告，目标线索为1证券代码：000565证券简称：渝三峡A公告编号：2026-030重庆三峡油漆股份有限公司关于控股股东协议转让公司部分股份过户完成的公告本公司及董事会全体成员保证信息披露的内容真实、准确、完整，没有虚假记载、误导性陈述或重大遗漏。；重庆三峡油漆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）于2026年6月8日收到重庆生命科技与新材料产业集团有限公司（下称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生材集团</w:t>
      </w:r>
      <w:r>
        <w:rPr>
          <w:rFonts w:ascii="Times New Roman" w:hAnsi="Times New Roman" w:eastAsia="Times New Roman" w:cs="Times New Roman"/>
          <w:b w:val="0"/>
          <w:sz w:val="28"/>
        </w:rPr>
        <w:t>”</w:t>
      </w:r>
      <w:r>
        <w:rPr>
          <w:rFonts w:ascii="Times New Roman" w:hAnsi="Times New Roman" w:eastAsia="仿宋" w:cs="Times New Roman"/>
          <w:b w:val="0"/>
          <w:sz w:val="28"/>
        </w:rPr>
        <w:t>。在地方国资体系中，一次微不足道的5%股权变动，往往暗藏着治理逻辑的重新编排。2026年6月8日，重庆三峡油漆股份有限公司（下称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渝三峡A</w:t>
      </w:r>
      <w:r>
        <w:rPr>
          <w:rFonts w:ascii="Times New Roman" w:hAnsi="Times New Roman" w:eastAsia="Times New Roman" w:cs="Times New Roman"/>
          <w:b w:val="0"/>
          <w:sz w:val="28"/>
        </w:rPr>
        <w:t>”</w:t>
      </w:r>
      <w:r>
        <w:rPr>
          <w:rFonts w:ascii="Times New Roman" w:hAnsi="Times New Roman" w:eastAsia="仿宋" w:cs="Times New Roman"/>
          <w:b w:val="0"/>
          <w:sz w:val="28"/>
        </w:rPr>
        <w:t>，000565）发布公告称。</w:t>
      </w:r>
    </w:p>
    <w:p>
      <w:pPr>
        <w:spacing w:before="0" w:after="0" w:line="240" w:lineRule="auto" w:beforeLines="0" w:afterLines="0"/>
        <w:jc w:val="left"/>
        <w:ind w:firstLineChars="200"/>
      </w:pPr>
      <w:r>
        <w:rPr>
          <w:rFonts w:ascii="Times New Roman" w:hAnsi="Times New Roman" w:eastAsia="仿宋" w:cs="Times New Roman"/>
          <w:b/>
          <w:sz w:val="28"/>
        </w:rPr>
        <w:t>一、股权现状与转让动机之判断</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案例：生材集团与重庆渝富控股集团有限公司受让渝三峡ａ40.55%股份并购方：生材集团与重庆渝富控股集团有限公司并购标的：渝三峡ａ40.55%股份交易金额/估值：40.55%；35.55%；5.00%；协议转让；股权/股份受让；时间线包括2026-03-27：生材集团与渝富控股签署《股份转让协议》；2026。</w:t>
      </w:r>
    </w:p>
    <w:p>
      <w:pPr>
        <w:spacing w:before="0" w:after="0" w:line="240" w:lineRule="auto" w:beforeLines="0" w:afterLines="0"/>
        <w:jc w:val="both"/>
        <w:ind w:firstLineChars="200"/>
      </w:pPr>
      <w:r>
        <w:rPr>
          <w:rFonts w:ascii="Times New Roman" w:hAnsi="Times New Roman" w:eastAsia="仿宋" w:cs="Times New Roman"/>
          <w:b w:val="0"/>
          <w:sz w:val="28"/>
        </w:rPr>
        <w:t>交易前，生材集团持有渝三峡A 175,808,982股，占总股本40.55%，是唯一的控股股东，重庆市国资委通过生材集团间接控制上市公司。渝三峡A作为重庆国资体系内唯一的涂料类上市平台，长期承接工业防护与建筑涂料业务，但其传统主营近年承受原材料价格波动与环保合规成本上升的双重压力。生材集团自身定位于生命科技与新材料产业，旗下资产涵盖化工材料、医药健康等多个板块，对渝三峡A更多行使股权管理职能，缺乏直接的技术与市场协同输入。</w:t>
      </w:r>
    </w:p>
    <w:p>
      <w:pPr>
        <w:spacing w:before="0" w:after="0" w:line="240" w:lineRule="auto" w:beforeLines="0" w:afterLines="0"/>
        <w:jc w:val="both"/>
        <w:ind w:firstLineChars="200"/>
      </w:pPr>
      <w:r>
        <w:rPr>
          <w:rFonts w:ascii="Times New Roman" w:hAnsi="Times New Roman" w:eastAsia="仿宋" w:cs="Times New Roman"/>
          <w:b w:val="0"/>
          <w:sz w:val="28"/>
        </w:rPr>
        <w:t>公开资料未单独披露生材集团转让股份的具体动机。结合交易条款看，生材集团在让出5%股份后仍保留35.55%的持股比例，超过《公司法》规定的三分之一表决权安全线，可以单方面否决修改章程、增减注册资本等重大事项，控制权基础未被削弱。因此，这次减持不像是为套现而被动收缩，更公开资料显示为一种主动的股权结构优化——通过引入渝富控股，既为上市公司嫁接外部资本与产业资源。</w:t>
      </w:r>
    </w:p>
    <w:p>
      <w:pPr>
        <w:spacing w:before="0" w:after="0" w:line="240" w:lineRule="auto" w:beforeLines="0" w:afterLines="0"/>
        <w:jc w:val="left"/>
        <w:ind w:firstLineChars="200"/>
      </w:pPr>
      <w:r>
        <w:rPr>
          <w:rFonts w:ascii="Times New Roman" w:hAnsi="Times New Roman" w:eastAsia="仿宋" w:cs="Times New Roman"/>
          <w:b/>
          <w:sz w:val="28"/>
        </w:rPr>
        <w:t>二、协议转让与交割条件的条款基础</w:t>
      </w:r>
    </w:p>
    <w:p>
      <w:pPr>
        <w:spacing w:before="0" w:after="0" w:line="240" w:lineRule="auto" w:beforeLines="0" w:afterLines="0"/>
        <w:jc w:val="both"/>
        <w:ind w:firstLineChars="200"/>
      </w:pPr>
      <w:r>
        <w:rPr>
          <w:rFonts w:ascii="Times New Roman" w:hAnsi="Times New Roman" w:eastAsia="仿宋" w:cs="Times New Roman"/>
          <w:b w:val="0"/>
          <w:sz w:val="28"/>
        </w:rPr>
        <w:t>本次转让比例锁定为总股本的5.00%，绝非随意为之，而是多重制度约束下的最优解。根据《上市公司收购管理办法》，持股达到5%时须编制简式权益变动报告书，履行信息披露义务，渝富控股由此获得公开的股东身份，并有权依照公司章程提名董事候选人；同时，5%不触及30%的要约收购门槛，不会触发全面要约义务，意味着收购方无需准备高额备用金，交易确定性更高。对转让方而言，减持。</w:t>
      </w:r>
    </w:p>
    <w:p>
      <w:pPr>
        <w:spacing w:before="0" w:after="0" w:line="240" w:lineRule="auto" w:beforeLines="0" w:afterLines="0"/>
        <w:jc w:val="both"/>
        <w:ind w:firstLineChars="200"/>
      </w:pPr>
      <w:r>
        <w:rPr>
          <w:rFonts w:ascii="Times New Roman" w:hAnsi="Times New Roman" w:eastAsia="仿宋" w:cs="Times New Roman"/>
          <w:b w:val="0"/>
          <w:sz w:val="28"/>
        </w:rPr>
        <w:t>从交易工具选择上，双方采用协议转让而非二级市场减持。协议转让的优点在于可以一次性完成大额股份交割，价格双边协商，不受二级市场竞价减持比例限制和披露时点约束，且对股价冲击小。依据《上市公司国有股权监督管理办法》，同一国资监管体系内企业间的协议转让，经批准可豁免公开征集受让方程序，这大幅缩短了交易周期。2026年3月27日签署协议，6月5日便完成过户，速度之快凸显了国资内部协调的顺畅。</w:t>
      </w:r>
    </w:p>
    <w:p>
      <w:pPr>
        <w:spacing w:before="0" w:after="0" w:line="240" w:lineRule="auto" w:beforeLines="0" w:afterLines="0"/>
        <w:jc w:val="both"/>
        <w:ind w:firstLineChars="200"/>
      </w:pPr>
      <w:r>
        <w:rPr>
          <w:rFonts w:ascii="Times New Roman" w:hAnsi="Times New Roman" w:eastAsia="仿宋" w:cs="Times New Roman"/>
          <w:b w:val="0"/>
          <w:sz w:val="28"/>
        </w:rPr>
        <w:t>遗憾的是，公告未披露本次协议转让的每股价格及总对价。在国资体系内股权划转中，定价多参照经审计的每股净资产值或一定期间内的交易均价，一般会略有折让以体现内部调剂属性，但具体定价基准的选择仍是市场关注焦点。价格信息的缺失，使外部投资者无法评判国有权益转让是否公允，也削弱了本次交易的信号传递功能。</w:t>
      </w:r>
    </w:p>
    <w:p>
      <w:pPr>
        <w:spacing w:before="0" w:after="0" w:line="240" w:lineRule="auto" w:beforeLines="0" w:afterLines="0"/>
        <w:jc w:val="left"/>
        <w:ind w:firstLineChars="200"/>
      </w:pPr>
      <w:r>
        <w:rPr>
          <w:rFonts w:ascii="Times New Roman" w:hAnsi="Times New Roman" w:eastAsia="仿宋" w:cs="Times New Roman"/>
          <w:b/>
          <w:sz w:val="28"/>
        </w:rPr>
        <w:t>三、产业关联度与潜在协同弹性</w:t>
      </w:r>
    </w:p>
    <w:p>
      <w:pPr>
        <w:spacing w:before="0" w:after="0" w:line="240" w:lineRule="auto" w:beforeLines="0" w:afterLines="0"/>
        <w:jc w:val="both"/>
        <w:ind w:firstLineChars="200"/>
      </w:pPr>
      <w:r>
        <w:rPr>
          <w:rFonts w:ascii="Times New Roman" w:hAnsi="Times New Roman" w:eastAsia="仿宋" w:cs="Times New Roman"/>
          <w:b w:val="0"/>
          <w:sz w:val="28"/>
        </w:rPr>
        <w:t>渝三峡A的主营业务为油漆、涂料的生产与销售，产品广泛应用于建筑、工业防腐等领域。面对涂料行业需求增速放缓和集中度提升的趋势，公司需要新的增长点，如功能性涂料、汽车漆等高端细分市场。生材集团虽然在生命科技与新材料产业有所布局，但其与涂料业务的协同性较弱，更多停留在控股层面。渝富控股的介入，为这种局面打开想象空间。</w:t>
      </w:r>
    </w:p>
    <w:p>
      <w:pPr>
        <w:spacing w:before="0" w:after="0" w:line="240" w:lineRule="auto" w:beforeLines="0" w:afterLines="0"/>
        <w:jc w:val="both"/>
        <w:ind w:firstLineChars="200"/>
      </w:pPr>
      <w:r>
        <w:rPr>
          <w:rFonts w:ascii="Times New Roman" w:hAnsi="Times New Roman" w:eastAsia="仿宋" w:cs="Times New Roman"/>
          <w:b w:val="0"/>
          <w:sz w:val="28"/>
        </w:rPr>
        <w:t>渝富控股作为市级国有资本投资运营平台，管理资产规模超千亿元，其投资组合广泛覆盖集成电路、新型显示、智能汽车、高端装备等重庆支柱产业。这些产业均对特种涂料存在需求——例如芯片封装用防护涂层、汽车车身漆、航空涂料等。若渝富控股能将所投资的产业资源对接给渝三峡A，可能催生技术合作或订单机会。但公告并未提及任何具体协同计划，也未披露渝富控股在董事会取得席位或签署战略。</w:t>
      </w:r>
    </w:p>
    <w:p>
      <w:pPr>
        <w:spacing w:before="0" w:after="0" w:line="240" w:lineRule="auto" w:beforeLines="0" w:afterLines="0"/>
        <w:jc w:val="both"/>
        <w:ind w:firstLineChars="200"/>
      </w:pPr>
      <w:r>
        <w:rPr>
          <w:rFonts w:ascii="Times New Roman" w:hAnsi="Times New Roman" w:eastAsia="仿宋" w:cs="Times New Roman"/>
          <w:b w:val="0"/>
          <w:sz w:val="28"/>
        </w:rPr>
        <w:t>对生材集团而言，转让5%股份所获现金对价虽未披露，但情形以每股净资产或近期市价估算，金额应在数千万元至数亿元规模，可为其新材料板块的研发或产能扩张补充流动性。这笔资金在集团内部消化，不会对渝三峡A的资本结构产生直接影响，上市公司资产负债表、每股收益等指标保持不变，体现了</w:t>
      </w:r>
      <w:r>
        <w:rPr>
          <w:rFonts w:ascii="Times New Roman" w:hAnsi="Times New Roman" w:eastAsia="Times New Roman" w:cs="Times New Roman"/>
          <w:b w:val="0"/>
          <w:sz w:val="28"/>
        </w:rPr>
        <w:t>“</w:t>
      </w:r>
      <w:r>
        <w:rPr>
          <w:rFonts w:ascii="Times New Roman" w:hAnsi="Times New Roman" w:eastAsia="仿宋" w:cs="Times New Roman"/>
          <w:b w:val="0"/>
          <w:sz w:val="28"/>
        </w:rPr>
        <w:t>不动上市公司现金流的股权调整</w:t>
      </w:r>
      <w:r>
        <w:rPr>
          <w:rFonts w:ascii="Times New Roman" w:hAnsi="Times New Roman" w:eastAsia="Times New Roman" w:cs="Times New Roman"/>
          <w:b w:val="0"/>
          <w:sz w:val="28"/>
        </w:rPr>
        <w:t>”</w:t>
      </w:r>
      <w:r>
        <w:rPr>
          <w:rFonts w:ascii="Times New Roman" w:hAnsi="Times New Roman" w:eastAsia="仿宋" w:cs="Times New Roman"/>
          <w:b w:val="0"/>
          <w:sz w:val="28"/>
        </w:rPr>
        <w:t>策略。</w:t>
      </w:r>
    </w:p>
    <w:p>
      <w:pPr>
        <w:spacing w:before="0" w:after="0" w:line="240" w:lineRule="auto" w:beforeLines="0" w:afterLines="0"/>
        <w:jc w:val="left"/>
        <w:ind w:firstLineChars="200"/>
      </w:pPr>
      <w:r>
        <w:rPr>
          <w:rFonts w:ascii="Times New Roman" w:hAnsi="Times New Roman" w:eastAsia="仿宋" w:cs="Times New Roman"/>
          <w:b/>
          <w:sz w:val="28"/>
        </w:rPr>
        <w:t>四、治理席位的暂时悬置与持续观察点</w:t>
      </w:r>
    </w:p>
    <w:p>
      <w:pPr>
        <w:spacing w:before="0" w:after="0" w:line="240" w:lineRule="auto" w:beforeLines="0" w:afterLines="0"/>
        <w:jc w:val="both"/>
        <w:ind w:firstLineChars="200"/>
      </w:pPr>
      <w:r>
        <w:rPr>
          <w:rFonts w:ascii="Times New Roman" w:hAnsi="Times New Roman" w:eastAsia="仿宋" w:cs="Times New Roman"/>
          <w:b w:val="0"/>
          <w:sz w:val="28"/>
        </w:rPr>
        <w:t>过户完成后，渝富控股以5%持股成为渝三峡A第二大股东，其法定权利包括查阅股东名册、提议召开临时股东大会、单独或联合提名董事等。然而公告并未提及渝富控股向上市公司委派董事或参与日常经营决策的任何信息，生材集团仍牢牢控制董事会构成。这种</w:t>
      </w:r>
      <w:r>
        <w:rPr>
          <w:rFonts w:ascii="Times New Roman" w:hAnsi="Times New Roman" w:eastAsia="Times New Roman" w:cs="Times New Roman"/>
          <w:b w:val="0"/>
          <w:sz w:val="28"/>
        </w:rPr>
        <w:t>“</w:t>
      </w:r>
      <w:r>
        <w:rPr>
          <w:rFonts w:ascii="Times New Roman" w:hAnsi="Times New Roman" w:eastAsia="仿宋" w:cs="Times New Roman"/>
          <w:b w:val="0"/>
          <w:sz w:val="28"/>
        </w:rPr>
        <w:t>股权动、治理不动</w:t>
      </w:r>
      <w:r>
        <w:rPr>
          <w:rFonts w:ascii="Times New Roman" w:hAnsi="Times New Roman" w:eastAsia="Times New Roman" w:cs="Times New Roman"/>
          <w:b w:val="0"/>
          <w:sz w:val="28"/>
        </w:rPr>
        <w:t>”</w:t>
      </w:r>
      <w:r>
        <w:rPr>
          <w:rFonts w:ascii="Times New Roman" w:hAnsi="Times New Roman" w:eastAsia="仿宋" w:cs="Times New Roman"/>
          <w:b w:val="0"/>
          <w:sz w:val="28"/>
        </w:rPr>
        <w:t>的现象在国资体系内较为常见，原因在于新进股东需要一段时间熟悉公司业务，且上市公司管理层可能不愿立即分享决策权，同时引入战投的初衷也可能只是优化资本结构而非改变治理。</w:t>
      </w:r>
    </w:p>
    <w:p>
      <w:pPr>
        <w:spacing w:before="0" w:after="0" w:line="240" w:lineRule="auto" w:beforeLines="0" w:afterLines="0"/>
        <w:jc w:val="both"/>
        <w:ind w:firstLineChars="200"/>
      </w:pPr>
      <w:r>
        <w:rPr>
          <w:rFonts w:ascii="Times New Roman" w:hAnsi="Times New Roman" w:eastAsia="仿宋" w:cs="Times New Roman"/>
          <w:b w:val="0"/>
          <w:sz w:val="28"/>
        </w:rPr>
        <w:t>这一悬置状态若长期延续，渝富控股的战略价值将大打折扣，沦为纯粹的财务投资者；若在12至18个月内实现治理承接，如提名非独立董事或签署一致行动协议，则可能真正激活治理效能，推动渝三峡A的战略调整。观察家需跟踪两个关键信号：一是渝富控股后续是否增持股份，越过5%后每变动1%都需公告，增持将显示其长期承诺；二是上市公司董事会改选或补选时是否出现渝富控股背景的候选人。</w:t>
      </w:r>
    </w:p>
    <w:p>
      <w:pPr>
        <w:spacing w:before="0" w:after="0" w:line="240" w:lineRule="auto" w:beforeLines="0" w:afterLines="0"/>
        <w:jc w:val="left"/>
        <w:ind w:firstLineChars="200"/>
      </w:pPr>
      <w:r>
        <w:rPr>
          <w:rFonts w:ascii="Times New Roman" w:hAnsi="Times New Roman" w:eastAsia="仿宋" w:cs="Times New Roman"/>
          <w:b/>
          <w:sz w:val="28"/>
        </w:rPr>
        <w:t>五、国资小比例战投引入的方法论启示</w:t>
      </w:r>
    </w:p>
    <w:p>
      <w:pPr>
        <w:spacing w:before="0" w:after="0" w:line="240" w:lineRule="auto" w:beforeLines="0" w:afterLines="0"/>
        <w:jc w:val="both"/>
        <w:ind w:firstLineChars="200"/>
      </w:pPr>
      <w:r>
        <w:rPr>
          <w:rFonts w:ascii="Times New Roman" w:hAnsi="Times New Roman" w:eastAsia="仿宋" w:cs="Times New Roman"/>
          <w:b w:val="0"/>
          <w:sz w:val="28"/>
        </w:rPr>
        <w:t>渝三峡A本次交易为地方国资上市公司提供了一套清晰的操作模板：在控制权不变的前提下，通过最小比例（5%）协议转让引入具有产业协同潜力的战略投资者，既不触动要约收购红线，又守住控股股东的关键否决权，还节约了时间与合规成本。其核心方法论可归结为三个维度的精细计算。</w:t>
      </w:r>
    </w:p>
    <w:p>
      <w:pPr>
        <w:spacing w:before="0" w:after="0" w:line="240" w:lineRule="auto" w:beforeLines="0" w:afterLines="0"/>
        <w:jc w:val="both"/>
        <w:ind w:firstLineChars="200"/>
      </w:pPr>
      <w:r>
        <w:rPr>
          <w:rFonts w:ascii="Times New Roman" w:hAnsi="Times New Roman" w:eastAsia="仿宋" w:cs="Times New Roman"/>
          <w:b/>
          <w:sz w:val="28"/>
        </w:rPr>
        <w:t>第一，比例计算模块。</w:t>
      </w:r>
      <w:r>
        <w:rPr>
          <w:rFonts w:ascii="Times New Roman" w:hAnsi="Times New Roman" w:eastAsia="仿宋" w:cs="Times New Roman"/>
          <w:b w:val="0"/>
          <w:sz w:val="28"/>
        </w:rPr>
        <w:t>控股股东需精确评估减持后剩余股份是否足以维持控制权认定（如实际控制人是否变化、董事会多数席位能否保持）、是否满足重大事项否决所需的比例（34%）。若初始持股高达40%以上，则存在适度稀释空间；若仅略高于34%，则无操作余地，需寻找其他工具。第二，工具选择模块。协议转让对比竞价减持或大宗交易，具有价格可控、一次性成交、对二级市场冲击小的优势。</w:t>
      </w:r>
    </w:p>
    <w:p>
      <w:pPr>
        <w:spacing w:before="0" w:after="0" w:line="240" w:lineRule="auto" w:beforeLines="0" w:afterLines="0"/>
        <w:jc w:val="both"/>
        <w:ind w:firstLineChars="200"/>
      </w:pPr>
      <w:r>
        <w:rPr>
          <w:rFonts w:ascii="Times New Roman" w:hAnsi="Times New Roman" w:eastAsia="仿宋" w:cs="Times New Roman"/>
          <w:b w:val="0"/>
          <w:sz w:val="28"/>
        </w:rPr>
        <w:t>对于其他地方国资控股的上市公司，若控股股东持股比例较高且缺乏产业协同能力，可参照此模式筛选同区域、同体系内的战略投资者，用最小的股权比例代价换取潜在资源导入，同时为未来进一步混改、员工持股甚至引入非公有资本预留治理空间。</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生材集团与渝富控股围绕渝三峡A的5%股份转让，是一次不动控制权根基的股权</w:t>
      </w:r>
      <w:r>
        <w:rPr>
          <w:rFonts w:ascii="Times New Roman" w:hAnsi="Times New Roman" w:eastAsia="Times New Roman" w:cs="Times New Roman"/>
          <w:b w:val="0"/>
          <w:sz w:val="28"/>
        </w:rPr>
        <w:t>“</w:t>
      </w:r>
      <w:r>
        <w:rPr>
          <w:rFonts w:ascii="Times New Roman" w:hAnsi="Times New Roman" w:eastAsia="仿宋" w:cs="Times New Roman"/>
          <w:b w:val="0"/>
          <w:sz w:val="28"/>
        </w:rPr>
        <w:t>微手术</w:t>
      </w:r>
      <w:r>
        <w:rPr>
          <w:rFonts w:ascii="Times New Roman" w:hAnsi="Times New Roman" w:eastAsia="Times New Roman" w:cs="Times New Roman"/>
          <w:b w:val="0"/>
          <w:sz w:val="28"/>
        </w:rPr>
        <w:t>”</w:t>
      </w:r>
      <w:r>
        <w:rPr>
          <w:rFonts w:ascii="Times New Roman" w:hAnsi="Times New Roman" w:eastAsia="仿宋" w:cs="Times New Roman"/>
          <w:b w:val="0"/>
          <w:sz w:val="28"/>
        </w:rPr>
        <w:t>。21,679,611股的过户，于上市公司总股本而微不足道，却触及了权益变动披露、董事提名权、要约收购豁免等多条规则红线。它显示，在现行法律框架下，战略投资者的引入不必非以大幅稀释控制权为代价，精巧的比例设计可以同时满足治理参与、资本退出与合规要求。但交易的成功最终取决于后续治理权的实体兑现：渝富控股能否进入董事会、能否将产业资源真正嫁接到渝三峡A，将决定这5%是仅仅记在股东名册上的一个数字，还是撬动上市公司价值提升的支点。对于同类案例，本案的方法论意义在于：当控股比例充足时，5%是最经济的战略投资门槛，但信息披露需做到全程透明，治理安排需避免无限期悬置，唯有如此，国有资本的结构优化才能真正转化为上市公司的高质量发展动力。</w:t>
      </w:r>
    </w:p>
    <w:p>
      <w:pPr>
        <w:spacing w:before="0" w:after="0" w:line="240" w:lineRule="auto" w:beforeLines="0" w:afterLines="0"/>
        <w:jc w:val="both"/>
        <w:ind w:firstLineChars="200"/>
      </w:pPr>
      <w:r>
        <w:rPr>
          <w:rFonts w:ascii="Times New Roman" w:hAnsi="Times New Roman" w:eastAsia="仿宋" w:cs="Times New Roman"/>
          <w:b w:val="0"/>
          <w:sz w:val="28"/>
        </w:rPr>
        <w:t>回到生材集团与重庆渝富控与渝三峡ａ40.55%，本案的方法论意义不在于把交易结果写成通用并购总结，而在于把案例：生材集团与重庆渝富控股集团有限公司受让渝三峡ａ40.55%股份并购方：生材集团与重庆渝富控股集团有限公司并购标的：渝三峡ａ40.55%股份交易金额/估值：40.55%；35.55%；5.00%；协议转让；股权/股份受让、生材集团转让前持股：175,808,982股（40.55%）；生材集团转让后持股：154,129,371股（35.55%）；渝富控股受让：21,679,611股（5.00%）；转让股份合计：21,679,611股（占总股本5.00%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生材集团与重庆渝富控而言，关键是交割承接和整合节奏能否与已披露安排匹配；对渝三峡ａ40.55%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