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 w:cs="Times New Roman"/>
          <w:b w:val="0"/>
          <w:sz w:val="30"/>
        </w:rPr>
        <w:t>中芯国际收购中芯北方49%股权：科创板最大重组案的整合逻辑与启示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2021年，中芯国际集成电路制造有限公司（以下简称“中芯国际”）拟通过发行股份及支付现金方式收购中芯北方集成电路制造（北京）有限公司（以下简称“中芯北方”）49%股权，交易对价约406亿元，成为科创板开板以来最大规模重组交易。该交易于当年获上交所并购重组委审议通过。本报告从交易过程、战略逻辑及可复用经验三个维度分析，为上市公司整合控股子公司少数股权提供参考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一、交易过程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据公告披露，中芯国际此前已持有中芯北方51%股权，本次交易意在收购剩余49%股权，实现对中芯北方的全资控股。交易前，中芯北方为上市公司控股子公司，其经营业绩按持股比例并入合并报表。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易推进方面，中芯国际以发行股份及支付现金相结合的方式支付对价，其中发行股份部分参照定价基准日前20个交易日股票均价确定，现金部分来源于自有资金或募集资金。交易构成关联交易（中芯北方其他股东与中芯国际存在关联关系），需经股东大会批准并提交上交所审核。2021年8月，上交所并购重组委审议通过该交易方案，随后完成资产过户及股份登记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后续整合阶段，中芯北方成为中芯国际全资子公司，其财务报表全额并入，归属母公司股东的净利润相应增加。中芯国际在技术、产能、管理等方面对中芯北方进一步整合，强化12英寸晶圆制造产能布局。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二、交易逻辑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从并购战略考量，中芯国际收购中芯北方少数股权主要基于以下目的：其一，增厚归母净利润。中芯北方是承担先进制程（如14纳米及以下）产能的主体，经营效益较好，少数股东损益长期分流利润，全资控股后全部利润归上市公司，直接提升每股收益。其二，优化治理结构。全资控股减少关联交易与潜在利益冲突，便于统一技术路线和产能调配。其三，资本运作时机。科创板市场对半导体行业估值较高，上市公司股价处于相对高位，发行股份收购对原有股东稀释效应较小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标的筛选方面，中芯北方属于上市公司已控股的成熟资产，盈利稳定、技术协同度高，尽调成本低、整合风险可控。交易结构设计上，采用“股份+现金”支付，兼顾融资效率与原有股东利益，同时避免构成借壳上市（交易不涉及控制权变更）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并购后价值释放体现在财务并表带来的净利润增厚、以及上市公司对核心资产管控力增强，进而支撑股价与再融资能力。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三、可复用经验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该交易为上市公司整合控股子公司少数股权提供了若干可复用经验：第一，控股型收购应优先选择盈利能力强、与主业高度协同的子公司，收购后能立即增厚每股收益。第二，利用上市公司平台发行股份收购，可减少现金支出，尤其在股价处于相对高位时，能降低融资成本并保护中小股东利益。第三，交易定价需经评估机构出具估值报告，确保公允性，避免因关联交易引发监管问询或中小股东异议。第四，交易完成后的管理整合需提前规划，重点在技术路线统一、产能分配及人员安排，以释放协同效应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从资本运作策略看，上市公司可定期评估控股子公司少数股权的价值，当子公司盈利能力提升且市场对上市公司估值给予溢价时，是推进收购的较好窗口。此外，科创板对发行股份购买资产的审核效率较高，为同类交易提供了可预期的路径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四、结论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中芯国际收购中芯北方49%股权的案例表明，上市公司通过整合控股子公司少数股权，可在不改变主业方向、不引入新业务风险的前提下，实现归母净利润的显著增厚。对于有并购需求的企业决策者，启示如下：首先，应系统梳理并表范围内子公司的股权结构，对高盈利子公司优先考虑全资控股。其次，选择符合市场估值水平的支付工具，股份支付可缓冲现金流压力，但需关注摊薄效应。再次，关联交易必须严格履行审议程序和信息披露义务，定价依据需经独立第三方评估。最后，整合后的管理协同是价值兑现的关键，需在产能、技术、供应链等层面制定具体方案。该交易并非适用所有场景，但当标的资产质量优良、关联关系清晰、整合路径明确时，不失为一种高效的价值释放手段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firstLine="560"/>
      <w:jc w:val="both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