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 w:cs="Times New Roman"/>
          <w:b w:val="0"/>
          <w:sz w:val="30"/>
        </w:rPr>
        <w:t>千亿级船舶巨头诞生：中国船舶吸收合并中国重工的并购逻辑与启示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2024年9月，中国船舶（600150.SH）与中国重工（601989.SH）同步公告合并预案，拟通过换股方式实现吸收合并。此次合并是继“南北船”集团合并后，旗下两大核心上市平台的进一步整合，旨在打造全球最大的船舶制造上市公司。本报告从交易过程、交易逻辑及可复用经验三个维度进行分析，为有并购需求的企业决策者提供参考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一、交易过程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本次合并的背景可追溯至2019年，原中国船舶工业集团（简称“南船”）与原中国船舶重工集团（简称“北船”）实施联合重组，成立中国船舶集团。此后，集团旗下多家上市公司存在同业竞争和业务重叠问题。为落实国企改革要求、提升协同效应，集团启动了上市平台整合工作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从交易安排看，中国船舶作为吸并方，拟通过向中国重工全体股东发行A股股票的方式换股吸收合并中国重工。合并完成后，中国重工将注销法人资格，其全部资产、负债、业务等由中国船舶承继。据公告披露，交易金额根据换股比例和双方股价确定，涉及数千亿元市值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交易推进过程中，两家公司分别召开董事会审议合并预案，并发布提示性公告。后续尚需双方股东大会批准、国资委及证监会等监管机构核准。截至报告撰写时，交易仍在进行中，尚未完成交割。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二、交易逻辑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从并购战略考量，此次合并的直接目标是解决同业竞争、减少关联交易。中国船舶和中国重工在船舶制造、海工装备等业务领域高度重叠，合并后可整合研发、采购、生产、销售等环节，降低内耗，提升整体议价能力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从标的筛选角度看，中国船舶与中国重工均为中国船舶集团旗下核心上市平台，资产规模、业务结构相近，且同属集团控制，整合阻力相对较小。选择换股吸收合并方式，避免了大量现金支出，且原股东权益得以保留，方案更易被接受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交易结构设计上，采用换股吸收合并形式，并设置异议股东收购请求权等保护机制。双方按照公告的换股比例进行股份交换，合并后存续主体为中国船舶，原中国重工股东成为中国船舶股东。该结构有利于维持上市地位、简化整合程序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在并购后整合与价值释放方面，合并后的中国船舶将实现总资产和营收规模的显著增长，成为全球最大造船上市公司。后续可推动生产资源统一调配、消除重复投资，在行业周期中增强抗风险能力。同时，合并有望提升上市公司估值，为股东创造长期价值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三、可复用经验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一是集团内同类上市平台的整合宜早不宜迟。国内不少产业集团存在多个上市平台业务重叠的情况，长期并存易导致内部竞争和资源浪费。借鉴本案例，可在集团层面统筹规划，选择行业地位强、治理规范的平台作为主体，逐步吸收其他同类资产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二是换股吸收合并是减少资金压力的有效手段。当双方均为上市公司且市值较大时，采用换股方式可避免大规模融资，保留现金用于运营。同时，需合理确定换股比例，平衡双方股东利益，必要时引入独立财务顾问进行估值分析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三是充分沟通与合规程序至关重要。涉及国有资产交易和上市公司重大资产重组，需提前与国资监管机构、证券交易所等沟通，确保方案符合相关规定。公告披露需完整、及时，保护中小股东知情权和表决权。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四是整合后的管理融合不容忽视。合并仅是第一步，后续需要统一战略、组织架构、信息系统和企业文化。可成立整合工作组，制定清晰的整合路线图，分阶段推进，确保协同效应落到实处。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四、结论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中国船舶吸收合并中国重工是国企深化改革的典型案例，展示了通过上市公司平台整合实现规模效应和效率提升的路径。对于有并购需求的企业决策者，可从中获得以下启示：首先，当存在同业竞争时，主动整合优于被动等待；其次，换股吸收合并是一种高效的结构设计，尤其适用于集团内整合；最后，并购后整合的成功取决于详尽的规划和执行力。需要注意的是，此类交易涉及复杂的监管审批和利益平衡，应组建专业团队，做好充分准备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ind w:firstLine="560"/>
      <w:jc w:val="both"/>
    </w:pPr>
    <w:rPr>
      <w:rFonts w:ascii="Times New Roman" w:hAnsi="Times New Roman" w:eastAsia="仿宋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