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宏桥控股收购宏拓实业：集团内部资产整合与资本化路径</w:t>
      </w:r>
    </w:p>
    <w:p>
      <w:pPr>
        <w:spacing w:line="240" w:lineRule="auto"/>
        <w:ind w:firstLine="560"/>
        <w:jc w:val="both"/>
      </w:pPr>
      <w:r>
        <w:rPr>
          <w:rFonts w:ascii="Times New Roman" w:hAnsi="Times New Roman" w:eastAsia="仿宋" w:cs="Times New Roman"/>
          <w:b w:val="0"/>
          <w:sz w:val="28"/>
        </w:rPr>
        <w:t>2024年9月证监会发布“并购六条”后，宏桥控股（中国宏桥控股有限公司）宣布以约635亿元收购宏拓实业100%股权，成为该政策背景下产业整合的典型案例。本次交易涉及上市公司集团内部资产重组，将原本非上市的铝业资产注入上市平台，同时显著减少关联交易。本报告从交易过程、交易逻辑、可复用经验三个维度进行分析，旨在为有并购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从前期动因看，宏桥控股作为港股上市公司中国宏桥（01378.HK）的控股股东，旗下拥有铝土矿、氧化铝、电解铝及深加工等完整产业链。宏拓实业原为集团非上市资产，主要持有部分铝土矿资源和氧化铝产能。公开资料显示，集团通过本次收购旨在将优质一级资产注入上市公司，减少与控股股东的关联交易，增强资产完整性和独立性。</w:t>
      </w:r>
    </w:p>
    <w:p>
      <w:pPr>
        <w:spacing w:line="240" w:lineRule="auto"/>
        <w:ind w:firstLine="560"/>
        <w:jc w:val="both"/>
      </w:pPr>
      <w:r>
        <w:rPr>
          <w:rFonts w:ascii="Times New Roman" w:hAnsi="Times New Roman" w:eastAsia="仿宋" w:cs="Times New Roman"/>
          <w:b w:val="0"/>
          <w:sz w:val="28"/>
        </w:rPr>
        <w:t>交易推进阶段，据公告披露，宏桥控股以协议转让方式收购宏拓实业全部股权，交易对价约635亿元，支付方式包括现金和股份（具体比例未公开详细数据）。交易需经独立股东批准以及香港联交所等监管机构审核。从交易安排看，双方聘请了独立财务顾问和评估机构对标的资产进行估值，并设置了业绩承诺和补偿机制以保障中小股东利益。</w:t>
      </w:r>
    </w:p>
    <w:p>
      <w:pPr>
        <w:spacing w:line="240" w:lineRule="auto"/>
        <w:ind w:firstLine="560"/>
        <w:jc w:val="both"/>
      </w:pPr>
      <w:r>
        <w:rPr>
          <w:rFonts w:ascii="Times New Roman" w:hAnsi="Times New Roman" w:eastAsia="仿宋" w:cs="Times New Roman"/>
          <w:b w:val="0"/>
          <w:sz w:val="28"/>
        </w:rPr>
        <w:t>截至报告撰写时，交易尚在推进过程中，后续交割及整合细节有待进一步披露。据公开信息，交易完成后宏拓实业将成为上市公司的全资子公司，集团内部铝产业链将实现完全整合。</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并购战略考量方面，宏桥控股通过本次收购旨在解决长期存在的关联交易问题。此前上市公司中国宏桥向控股股东采购氧化铝等原材料，关联交易金额较大，引发投资者对利益输送的担忧。收购后，上游资源完全纳入上市公司体内，有助于提升治理透明度和市场估值。同时，整合后的协同效应体现在：统一采购降低原材料成本，优化物流和生产调度，提升整体运营效率。</w:t>
      </w:r>
    </w:p>
    <w:p>
      <w:pPr>
        <w:spacing w:line="240" w:lineRule="auto"/>
        <w:ind w:firstLine="560"/>
        <w:jc w:val="both"/>
      </w:pPr>
      <w:r>
        <w:rPr>
          <w:rFonts w:ascii="Times New Roman" w:hAnsi="Times New Roman" w:eastAsia="仿宋" w:cs="Times New Roman"/>
          <w:b w:val="0"/>
          <w:sz w:val="28"/>
        </w:rPr>
        <w:t>标的筛选逻辑清晰。宏拓实业持有的铝土矿和氧化铝资产与上市公司现有电解铝和加工产能高度互补，属于“同一个产业链、不同环节”的纵向整合。资产质量方面，标的资源储量丰富且位于低成本区域，未来现金流稳定。交易结构设计上，采用现金加股份方式，既满足控股股东的流动性需求，又让中小股东共享未来整合收益。此外，交易引入业绩承诺和锁定期，降低了短期业绩摊薄风险。</w:t>
      </w:r>
    </w:p>
    <w:p>
      <w:pPr>
        <w:spacing w:line="240" w:lineRule="auto"/>
        <w:ind w:firstLine="560"/>
        <w:jc w:val="both"/>
      </w:pPr>
      <w:r>
        <w:rPr>
          <w:rFonts w:ascii="Times New Roman" w:hAnsi="Times New Roman" w:eastAsia="仿宋" w:cs="Times New Roman"/>
          <w:b w:val="0"/>
          <w:sz w:val="28"/>
        </w:rPr>
        <w:t>从监管政策看，“并购六条”明确鼓励上市公司围绕主业实施产业整合，支持优质资产注入。本次交易符合政策导向，也体现了监管层对减少关联交易、提升上市公司质量的支持。对宏桥控股而言，资产注入后上市公司体量大幅增长，资产负债结构优化，为后续资本运作预留空间。</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第一，集团内部资产整合是减少关联交易、提升上市公司独立性的有效路径。</w:t>
      </w:r>
      <w:r>
        <w:rPr>
          <w:rFonts w:ascii="Times New Roman" w:hAnsi="Times New Roman" w:eastAsia="仿宋" w:cs="Times New Roman"/>
          <w:b w:val="0"/>
          <w:sz w:val="28"/>
        </w:rPr>
        <w:t>有类似问题的企业可借鉴宏桥控股做法：将控股股东体系内与上市公司业务高度相关的资产进行梳理，通过收购实现一体化运营。关键在于资产评估的公允性，需聘请独立第三方评估机构，并设置合理的业绩承诺和补偿机制。</w:t>
      </w:r>
    </w:p>
    <w:p>
      <w:pPr>
        <w:spacing w:line="240" w:lineRule="auto"/>
        <w:ind w:firstLine="560"/>
        <w:jc w:val="both"/>
      </w:pPr>
      <w:r>
        <w:rPr>
          <w:rFonts w:ascii="Times New Roman" w:hAnsi="Times New Roman" w:eastAsia="仿宋" w:cs="Times New Roman"/>
          <w:b/>
          <w:sz w:val="28"/>
        </w:rPr>
        <w:t>第二，交易定价需兼顾多方利益。</w:t>
      </w:r>
      <w:r>
        <w:rPr>
          <w:rFonts w:ascii="Times New Roman" w:hAnsi="Times New Roman" w:eastAsia="仿宋" w:cs="Times New Roman"/>
          <w:b w:val="0"/>
          <w:sz w:val="28"/>
        </w:rPr>
        <w:t>宏桥控股以约635亿元对价收购，据公告披露该价格基于收益法和市场法综合确定，且较标的净资产有一定溢价。对于决策者而言，关联交易定价应充分披露评估假设和方法，同时参考可比交易案例，避免损害中小股东利益。</w:t>
      </w:r>
    </w:p>
    <w:p>
      <w:pPr>
        <w:spacing w:line="240" w:lineRule="auto"/>
        <w:ind w:firstLine="560"/>
        <w:jc w:val="both"/>
      </w:pPr>
      <w:r>
        <w:rPr>
          <w:rFonts w:ascii="Times New Roman" w:hAnsi="Times New Roman" w:eastAsia="仿宋" w:cs="Times New Roman"/>
          <w:b/>
          <w:sz w:val="28"/>
        </w:rPr>
        <w:t>第三，善用政策窗口期。</w:t>
      </w:r>
      <w:r>
        <w:rPr>
          <w:rFonts w:ascii="Times New Roman" w:hAnsi="Times New Roman" w:eastAsia="仿宋" w:cs="Times New Roman"/>
          <w:b w:val="0"/>
          <w:sz w:val="28"/>
        </w:rPr>
        <w:t>“并购六条”为产业整合提供了审核便利和融资支持。企业在制定并购方案时，应主动对接监管导向，如符合“同行业、上下游”整合要求，可加快审批进程。宏桥控股交易作为典型案例，为后续类似资产注入提供了参考框架。</w:t>
      </w:r>
    </w:p>
    <w:p>
      <w:pPr>
        <w:spacing w:line="240" w:lineRule="auto"/>
        <w:ind w:firstLine="560"/>
        <w:jc w:val="both"/>
      </w:pPr>
      <w:r>
        <w:rPr>
          <w:rFonts w:ascii="Times New Roman" w:hAnsi="Times New Roman" w:eastAsia="仿宋" w:cs="Times New Roman"/>
          <w:b w:val="0"/>
          <w:sz w:val="28"/>
        </w:rPr>
        <w:t>第四，整合后管理需提前规划。资产注入仅是第一步，后续业务、人员、财务和文化的融合同样关键。建议企业在交易协议中明确管理整合方案，包括组织架构调整、信息系统对接和关键人员安排，以最大化协同效应。</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宏桥控股收购宏拓实业是“并购六条”后集团内部资产整合与资本化的一个标志性样本。该案例启示决策者：利用政策红利，通过收购关联方优质资产可有效减少关联交易、提升上市平台竞争力；交易结构设计需兼顾公允性、可行性及中小股东利益；整合后应重视协同效应的落地。对于存在类似集团内部资产未上市、关联交易占比较高情形的企业，可参考此路径进行资本化运作。但需注意，收购对价较高时，需评估业绩承诺的可实现性，避免商誉减值风险。整体而言，这是一次在合规框架下实现产业升级和治理优化的有益实践。</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