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杠杆逆周期收购与主动管理增值：黑石私有化希尔顿并重新上市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2007年，黑石集团以约260亿美元杠杆收购希尔顿酒店集团（Hilton Hotels Corporation），将其私有化。在随后几年中，黑石通过改善运营、优化品牌组合和资本结构调整，使希尔顿价值大幅提升，并于2013年12月重新在纽约证券交易所上市。该案例是私募股权“买入—整合—退出”模式的典型代表，重点分析交易结构、投后管理及退出时机选择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一、交易过程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公开资料显示，2007年7月，黑石集团以每股47.50美元现金收购希尔顿所有公开发行股份，交易总价值约260亿美元（含债务承担）。当时希尔顿是全球领先的酒店管理公司，旗下拥有希尔顿、康莱德、华尔道夫等知名品牌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收购完成后，希尔顿从纽约证券交易所退市，成为黑石旗下的私有公司。2008年全球金融危机爆发，希尔顿经营和债务压力骤增，其企业价值一度被认为低于收购价格。但黑石未选择止损退出，而是通过一系列措施改善公司基本面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2010年起，希尔顿开始恢复增长。黑石对管理层进行了调整，任命克里斯托弗·纳塞塔（Christopher Nassetta）为CEO，推动品牌扩张和成本控制。同时，黑石利用低利率环境对希尔顿的债务进行重组，降低财务成本。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2013年12月12日，希尔顿以每股20美元的价格重新在纽交所上市，募资约23.5亿美元。此后黑石通过多次减持逐步退出，至2018年完全出售所有股份。据公告披露，该交易为黑石创造了约140亿美元的利润，实现约2.5倍的初始股权投资回报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二、交易逻辑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并购战略考量看，黑石在2007年以较高倍数（约12倍EBITDA）收购希尔顿，是基于对酒店行业长期增长趋势的判断，以及希尔顿全球品牌网络的稀缺性。虽然短期内遭遇危机，但黑石认为希尔顿的资产价值被暂时扭曲，且其现金流产生能力足以支撑债务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标的筛选方面，希尔顿拥有成熟的会员体系和分散的全球酒店组合，抗风险能力较强。黑石看重其品牌管理能力和轻资产扩张模式（管理合同与特许经营），这使得投后价值提升空间较大。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结构设计上，黑石采用了高杠杆的收购方式，自有资金仅约56亿美元，其余为债务融资。这种结构放大了股权回报，但也带来了巨大的财务风险。为应对危机，黑石与债权人协商进行债务重组，包括降低利率、延长期限等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投后整合与价值释放是黑石的核心能力。黑石通过更换管理层、精简运营、加大亚太和新兴市场扩展，以及剥离非核心资产（如将华尔道夫等部分酒店出售），提升了希尔顿的盈利能力和品牌价值。此外，黑石还利用其行业关系帮助希尔顿获取更多管理合同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三、可复用经验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对于企业决策者而言，逆向思维收购优质资产是创造价值的起点。在行业低谷期敢于投资，需要对企业基本面和自身管理能力有充分信心。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投后管理能力比交易本身更重要。黑石通过主动介入运营、调整战略、优化资本结构，将一家受困的企业扭转为行业领先者。决策者应评估自身是否具备类似的整合能力。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杠杆是双刃剑。高杠杆在顺周期时能放大收益，但在下行期可能带来偿付危机。适当利用债务重组工具（如低利率环境下的再融资）可以缓解压力，但需提前规划风险管理机制。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退出时机的选择直接影响回报倍数。黑石选择在市场信心恢复、公司盈利改善后上市，并分阶段减持，既实现了高回报，又避免了集中抛售打压股价。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四、结论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黑石私有化希尔顿的案例表明，私募股权通过“收购—改造—退出”模式能够为投资者创造显著价值，但其成功高度依赖专业化的投后管理能力。对于有并购需求的企业决策者，可从以下方面借鉴：第一，并购标的应具备可改善的基本面（如品牌、网络、管理效率提升空间）；第二，交易结构需预留应对极端风险的空间，如债务条款的弹性；第三，投后整合应聚焦于提升运营效率和资本配置效率，而非仅依赖财务杠杆；第四，退出路径需结合市场周期和企业成熟度灵活规划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