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亏损平台逆势并购：晶丰明源溢价收购易冲科技案例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2024年，上海晶丰明源半导体股份有限公司（简称“晶丰明源”）公告拟以现金及发行股份方式收购四川易冲科技有限公司（简称“易冲科技”）100%股权，交易溢价超过260%。晶丰明源连续三年亏损，此次逆势并购引发市场对其整合战略及业绩对赌的关注。本案例从交易过程、战略逻辑、可复用经验三个维度展开，分析亏损上市公司如何通过并购整合同类资产实现困境反转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方面，晶丰明源主营LED照明驱动芯片，上市后因行业竞争加剧及下游需求疲软，2021年至2023年连续亏损，归母净利润分别为-0.15亿元、-2.12亿元、-0.89亿元。公司亟需拓展新增长点，而易冲科技专注于无线充电及电源管理芯片，与晶丰明源在技术、客户和供应链上具有协同潜力。晶丰明源希望通过收购易冲科技进入消费电子和汽车电子领域，提升盈利能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阶段，2024年6月晶丰明源首次披露收购意向，随后发布预案。据公告披露，标的资产预估值约12亿元，以收益法评估增值超过260%，对应2023年静态市盈率约30倍。交易采用发行股份及支付现金方式，其中股份支付比例约70%，发行价格为23.5元/股，同时募集配套资金不超过4亿元。业绩对赌方面，易冲科技原股东承诺2024-2026年累计净利润不低于2.5亿元，若未达标将进行股份及现金补偿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截至2024年末，该交易尚需股东大会及监管机构批准，未完成交割。但从公开资料看，双方已开始筹备业务整合，包括共享客户资源、技术研发协同等。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战略考量上，晶丰明源面临主业萎缩的困境，通过收购易冲科技实现横向扩张，进入快速增长的无线充电市场。易冲科技在无线充电芯片领域市占率国内领先，客户涵盖三星、小米等品牌，其收入规模约为晶丰明源的1.5倍（2023年易冲科技营收约8亿元，晶丰明源约5亿元），收购后上市公司营收体量将大幅提升，有助于改善财务报表表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方面，易冲科技原计划独立IPO，但受限于自身盈利规模（2023年净利润约4000万元），上市进程缓慢。晶丰明源作为A股上市公司（科创板），具备再融资和并购整合平台优势，因此易冲科技愿意被并购以实现资本化。这种“一级资产+上市平台”的整合模式，符合分类口径中“依托上市平台持续整合同类资产”的特征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，较高估值体现了标的稀缺性及协同预期，但业绩对赌条款降低了收购风险。对赌总额2.5亿元覆盖了交易对价的部分溢价，若标的未达预期，补偿机制可保护上市公司股东利益。此外，股份支付为主的方式减少了现金支出，避免进一步拖累盈利能力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第一，亏损上市公司可通过并购重组实现困境反转。</w:t>
      </w:r>
      <w:r>
        <w:rPr>
          <w:rFonts w:ascii="Times New Roman" w:hAnsi="Times New Roman" w:eastAsia="仿宋" w:cs="Times New Roman"/>
          <w:b w:val="0"/>
          <w:sz w:val="28"/>
        </w:rPr>
        <w:t>晶丰明源在连续亏损下仍能启动并购，关键在于标的的成长性和协同效应能够改善基本面。决策者应评估并购后能否带来收入增长和利润率提升，而非仅关注短期利润表。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第二，并购定价应设置业绩对赌等风险缓释措施。</w:t>
      </w:r>
      <w:r>
        <w:rPr>
          <w:rFonts w:ascii="Times New Roman" w:hAnsi="Times New Roman" w:eastAsia="仿宋" w:cs="Times New Roman"/>
          <w:b w:val="0"/>
          <w:sz w:val="28"/>
        </w:rPr>
        <w:t>本案例中溢价虽高，但对赌条款覆盖预期收益，若未达标可获补偿。企业决策者在面对高溢价时，应优先确保交易条款包含对赌或分期支付等保护机制。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第三，利用上市平台整合同行业资产可加速资本化。</w:t>
      </w:r>
      <w:r>
        <w:rPr>
          <w:rFonts w:ascii="Times New Roman" w:hAnsi="Times New Roman" w:eastAsia="仿宋" w:cs="Times New Roman"/>
          <w:b w:val="0"/>
          <w:sz w:val="28"/>
        </w:rPr>
        <w:t>易冲科技放弃独立IPO选择被并购，体现了上市公司作为资本平台的优势。对于有类似需求的企业，可考虑以自身上市公司为“壳”整合行业内优质资产。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第四，交易结构设计需兼顾控制权与资金安排。晶丰明源采用“发行股份+现金”方式，既保留了表决权（实际控制人持股比例下降但仍有控制权），又通过配套融资补充资金。决策者应平衡稀释与资金需求。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案例为亏损上市公司依托平台整合同类资产提供了参考。经验表明，逆势并购需聚焦标的成长性、设置业绩对赌、利用股份支付降低现金压力。教训是，高溢价收购若整合不力可能加剧亏损，决策者应审慎评估协同落地风险。总体而言，该交易展示了资本市场并购重组在困境企业转型中的积极作用，但结果仍待业绩对赌期内验证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