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五新隧装收购案过资产完成：北交所小市值公司的产业并购路径</w:t>
      </w:r>
    </w:p>
    <w:p>
      <w:pPr>
        <w:spacing w:line="240" w:lineRule="auto"/>
        <w:ind w:firstLine="560"/>
        <w:jc w:val="both"/>
      </w:pPr>
      <w:r>
        <w:rPr>
          <w:rFonts w:ascii="Times New Roman" w:hAnsi="Times New Roman" w:eastAsia="仿宋" w:cs="Times New Roman"/>
          <w:b w:val="0"/>
          <w:sz w:val="28"/>
        </w:rPr>
        <w:t>近日，北交所上市公司五新隧装（股票代码：835174）收购相关资产完成过户，标志着这一产业并购案进入协同整合阶段。该案例展示了小型上市公司如何借助资本市场平台横向整合同类资产，以期实现业务规模与竞争力的提升。本报告从交易过程、交易逻辑、可复用经验及结论四个维度进行分析，为有并购需求的企业决策者提供参考。</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据公开资料，五新隧装主要从事隧道施工智能装备的研发、生产和销售，产品包括混凝土湿喷机、隧道衬砌台车等。本次收购标的为一家同行业企业，主营相近产品，业务存在重叠与互补。</w:t>
      </w:r>
    </w:p>
    <w:p>
      <w:pPr>
        <w:spacing w:line="240" w:lineRule="auto"/>
        <w:ind w:firstLine="560"/>
        <w:jc w:val="both"/>
      </w:pPr>
      <w:r>
        <w:rPr>
          <w:rFonts w:ascii="Times New Roman" w:hAnsi="Times New Roman" w:eastAsia="仿宋" w:cs="Times New Roman"/>
          <w:b w:val="0"/>
          <w:sz w:val="28"/>
        </w:rPr>
        <w:t>交易前期，五新隧装于某年度首次披露收购意向，随后进行尽职调查与交易结构设计。据公告披露，双方采用现金支付方式，具体金额未对外详细说明。交易完成后，标的资产成为五新隧装的全资子公司。</w:t>
      </w:r>
    </w:p>
    <w:p>
      <w:pPr>
        <w:spacing w:line="240" w:lineRule="auto"/>
        <w:ind w:firstLine="560"/>
        <w:jc w:val="both"/>
      </w:pPr>
      <w:r>
        <w:rPr>
          <w:rFonts w:ascii="Times New Roman" w:hAnsi="Times New Roman" w:eastAsia="仿宋" w:cs="Times New Roman"/>
          <w:b w:val="0"/>
          <w:sz w:val="28"/>
        </w:rPr>
        <w:t>近期，五新隧装发布公告称标的资产已办理完成工商变更登记，过户手续已全部完成。公司表示将着手推进业务、人员、财务等方面的整合，力求实现协同效应。</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并购战略考量，五新隧装作为北交所上市企业，整体市值及营收规模偏小，通过收购同类资产能够快速扩大市场份额、完善产品线，并提升在隧道装备领域的行业地位。公开资料显示，标的公司在特定区域或细分市场具有一定客户基础，收购后有助于五新隧装拓展销售网络。</w:t>
      </w:r>
    </w:p>
    <w:p>
      <w:pPr>
        <w:spacing w:line="240" w:lineRule="auto"/>
        <w:ind w:firstLine="560"/>
        <w:jc w:val="both"/>
      </w:pPr>
      <w:r>
        <w:rPr>
          <w:rFonts w:ascii="Times New Roman" w:hAnsi="Times New Roman" w:eastAsia="仿宋" w:cs="Times New Roman"/>
          <w:b w:val="0"/>
          <w:sz w:val="28"/>
        </w:rPr>
        <w:t>在标的筛选方面，五新隧装选择了与自身业务高度相关的企业，降低了跨界整合的风险。标的资产的产品、技术、渠道均与上市公司现有业务存在协同可能，整合难度相对可控。</w:t>
      </w:r>
    </w:p>
    <w:p>
      <w:pPr>
        <w:spacing w:line="240" w:lineRule="auto"/>
        <w:ind w:firstLine="560"/>
        <w:jc w:val="both"/>
      </w:pPr>
      <w:r>
        <w:rPr>
          <w:rFonts w:ascii="Times New Roman" w:hAnsi="Times New Roman" w:eastAsia="仿宋" w:cs="Times New Roman"/>
          <w:b w:val="0"/>
          <w:sz w:val="28"/>
        </w:rPr>
        <w:t>交易结构设计上，采用全现金交易，避免了股权稀释，但需要上市公司具备充足的资金储备或融资能力。从安排看，五新隧装通过自有资金及部分银行贷款完成了支付，财务杠杆未过度上升。</w:t>
      </w:r>
    </w:p>
    <w:p>
      <w:pPr>
        <w:spacing w:line="240" w:lineRule="auto"/>
        <w:ind w:firstLine="560"/>
        <w:jc w:val="both"/>
      </w:pPr>
      <w:r>
        <w:rPr>
          <w:rFonts w:ascii="Times New Roman" w:hAnsi="Times New Roman" w:eastAsia="仿宋" w:cs="Times New Roman"/>
          <w:b w:val="0"/>
          <w:sz w:val="28"/>
        </w:rPr>
        <w:t>并购后整合与价值释放是本次交易的关键。五新隧装已明确将推进业务协同、供应链共享及管理整合。若能有效实现技术融合、客户资源整合，有望提升整体运营效率和盈利能力。</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sz w:val="28"/>
        </w:rPr>
        <w:t>第一，小市值上市公司可以依托现有平台持续横向并购，逐步做大。</w:t>
      </w:r>
      <w:r>
        <w:rPr>
          <w:rFonts w:ascii="Times New Roman" w:hAnsi="Times New Roman" w:eastAsia="仿宋" w:cs="Times New Roman"/>
          <w:b w:val="0"/>
          <w:sz w:val="28"/>
        </w:rPr>
        <w:t>北交所等市场为中小企业提供了资本化路径，但公司价值仍需通过产业整合来支撑。五新隧装选择同行业资产，减少了业务不匹配的风险。</w:t>
      </w:r>
    </w:p>
    <w:p>
      <w:pPr>
        <w:spacing w:line="240" w:lineRule="auto"/>
        <w:ind w:firstLine="560"/>
        <w:jc w:val="both"/>
      </w:pPr>
      <w:r>
        <w:rPr>
          <w:rFonts w:ascii="Times New Roman" w:hAnsi="Times New Roman" w:eastAsia="仿宋" w:cs="Times New Roman"/>
          <w:b/>
          <w:sz w:val="28"/>
        </w:rPr>
        <w:t>第二，现金收购在股权结构稳定的前提下可直接提升净利润。</w:t>
      </w:r>
      <w:r>
        <w:rPr>
          <w:rFonts w:ascii="Times New Roman" w:hAnsi="Times New Roman" w:eastAsia="仿宋" w:cs="Times New Roman"/>
          <w:b w:val="0"/>
          <w:sz w:val="28"/>
        </w:rPr>
        <w:t>但决策者需评估自身现金流状况，避免过度负债。五新隧装的交易安排显示其融资节奏较为审慎。</w:t>
      </w:r>
    </w:p>
    <w:p>
      <w:pPr>
        <w:spacing w:line="240" w:lineRule="auto"/>
        <w:ind w:firstLine="560"/>
        <w:jc w:val="both"/>
      </w:pPr>
      <w:r>
        <w:rPr>
          <w:rFonts w:ascii="Times New Roman" w:hAnsi="Times New Roman" w:eastAsia="仿宋" w:cs="Times New Roman"/>
          <w:b/>
          <w:sz w:val="28"/>
        </w:rPr>
        <w:t>第三，整合是并购成功的关键。</w:t>
      </w:r>
      <w:r>
        <w:rPr>
          <w:rFonts w:ascii="Times New Roman" w:hAnsi="Times New Roman" w:eastAsia="仿宋" w:cs="Times New Roman"/>
          <w:b w:val="0"/>
          <w:sz w:val="28"/>
        </w:rPr>
        <w:t>标的资产过户仅是第一步，后续的业务协同、人员稳定、企业文化融合等需要精心规划。建议在交易前制定详细的整合计划，并设立专人负责。</w:t>
      </w:r>
    </w:p>
    <w:p>
      <w:pPr>
        <w:spacing w:line="240" w:lineRule="auto"/>
        <w:ind w:firstLine="560"/>
        <w:jc w:val="both"/>
      </w:pPr>
      <w:r>
        <w:rPr>
          <w:rFonts w:ascii="Times New Roman" w:hAnsi="Times New Roman" w:eastAsia="仿宋" w:cs="Times New Roman"/>
          <w:b w:val="0"/>
          <w:sz w:val="28"/>
        </w:rPr>
        <w:t>第四，对于北交所等流动性相对有限的市场，公告信息需及时透明，以维护投资者信心。五新隧装定期披露交易进展，有助于市场理解其战略意图。</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五新隧装收购案为北交所小市值公司通过产业并购实现做大做强提供了参考。该案例给企业决策者的启示包括：优先选择主业相关资产以降低整合风险；合理运用现金或股权工具平衡股东利益；重视并购后整合，将协同效应转化为实际业绩增长。</w:t>
      </w:r>
    </w:p>
    <w:p>
      <w:pPr>
        <w:spacing w:line="240" w:lineRule="auto"/>
        <w:ind w:firstLine="560"/>
        <w:jc w:val="both"/>
      </w:pPr>
      <w:r>
        <w:rPr>
          <w:rFonts w:ascii="Times New Roman" w:hAnsi="Times New Roman" w:eastAsia="仿宋" w:cs="Times New Roman"/>
          <w:b w:val="0"/>
          <w:sz w:val="28"/>
        </w:rPr>
        <w:t>同时，企业需注意标的估值合理性、资金安排及管理团队承接能力。并购不是终点，而是价值创造的起点。未来五新隧装的整合效果值得持续关注。</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