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cs="Times New Roman"/>
          <w:b w:val="0"/>
          <w:sz w:val="30"/>
        </w:rPr>
        <w:t>低谷期整合，通威股份并购青海丽豪：光伏龙头逆周期扩张的启示</w:t>
      </w:r>
    </w:p>
    <w:p>
      <w:pPr>
        <w:spacing w:line="240" w:lineRule="auto"/>
        <w:ind w:firstLine="560"/>
        <w:jc w:val="both"/>
      </w:pPr>
      <w:r>
        <w:rPr>
          <w:rFonts w:ascii="Times New Roman" w:hAnsi="Times New Roman" w:eastAsia="仿宋" w:cs="Times New Roman"/>
          <w:b w:val="0"/>
          <w:sz w:val="28"/>
        </w:rPr>
        <w:t>2023年至2024年期间，通威股份有限公司（以下简称“通威股份”）通过多次股权收购，逐步取得青海丽豪半导体材料有限公司（以下简称“青海丽豪”）的控制权。在光伏行业产能过剩、产业链价格下行的背景下，这一并购被视为龙头企业依托上市平台逆周期整合同类资产的典型案例。本报告从交易过程、交易逻辑、可复用经验三个维度进行分析，总结出对有意进行产业整合的企业决策者的启示。</w:t>
      </w:r>
    </w:p>
    <w:p>
      <w:pPr>
        <w:spacing w:before="160" w:after="80"/>
        <w:ind w:firstLine="200"/>
      </w:pPr>
      <w:r>
        <w:rPr>
          <w:rFonts w:ascii="Times New Roman" w:hAnsi="Times New Roman" w:eastAsia="仿宋" w:cs="Times New Roman"/>
          <w:b/>
          <w:sz w:val="28"/>
        </w:rPr>
        <w:t>一、交易过程</w:t>
      </w:r>
    </w:p>
    <w:p>
      <w:pPr>
        <w:spacing w:line="240" w:lineRule="auto"/>
        <w:ind w:firstLine="560"/>
        <w:jc w:val="both"/>
      </w:pPr>
      <w:r>
        <w:rPr>
          <w:rFonts w:ascii="Times New Roman" w:hAnsi="Times New Roman" w:eastAsia="仿宋" w:cs="Times New Roman"/>
          <w:b w:val="0"/>
          <w:sz w:val="28"/>
        </w:rPr>
        <w:t>公开资料显示，青海丽豪成立于2020年，主要从事高纯晶硅的研发、生产和销售，其产线布局位于青海西宁。通威股份作为全球硅料和电池片双龙头，此前已通过自建产能实现大规模扩张。2023年，光伏行业进入深度调整期，硅料价格从高点大幅回落，部分高成本产能面临亏损。</w:t>
      </w:r>
    </w:p>
    <w:p>
      <w:pPr>
        <w:spacing w:line="240" w:lineRule="auto"/>
        <w:ind w:firstLine="560"/>
        <w:jc w:val="both"/>
      </w:pPr>
      <w:r>
        <w:rPr>
          <w:rFonts w:ascii="Times New Roman" w:hAnsi="Times New Roman" w:eastAsia="仿宋" w:cs="Times New Roman"/>
          <w:b w:val="0"/>
          <w:sz w:val="28"/>
        </w:rPr>
        <w:t>从交易推进看，据公告披露，通威股份自2023年下半年起，通过协议转让和增资方式分步收购青海丽豪股权。初期通威以较低估值取得少数股权，随后在2024年初进一步增持至控股地位。交易对价未完全公开，但据行业分析，整体估值较行业高点有明显折让。交割后，青海丽豪成为通威股份的控股子公司，并纳入合并报表。</w:t>
      </w:r>
    </w:p>
    <w:p>
      <w:pPr>
        <w:spacing w:line="240" w:lineRule="auto"/>
        <w:ind w:firstLine="560"/>
        <w:jc w:val="both"/>
      </w:pPr>
      <w:r>
        <w:rPr>
          <w:rFonts w:ascii="Times New Roman" w:hAnsi="Times New Roman" w:eastAsia="仿宋" w:cs="Times New Roman"/>
          <w:b w:val="0"/>
          <w:sz w:val="28"/>
        </w:rPr>
        <w:t>后续整合方面，通威股份将青海丽豪的产能纳入自身生产调度体系，共享采购和销售渠道，并推动技术升级以降低生产成本。从交易安排看，本次并购未触发重大资产重组审批，主要通过上市公司董事会审议完成。</w:t>
      </w:r>
    </w:p>
    <w:p>
      <w:pPr>
        <w:spacing w:before="160" w:after="80"/>
        <w:ind w:firstLine="200"/>
      </w:pPr>
      <w:r>
        <w:rPr>
          <w:rFonts w:ascii="Times New Roman" w:hAnsi="Times New Roman" w:eastAsia="仿宋" w:cs="Times New Roman"/>
          <w:b/>
          <w:sz w:val="28"/>
        </w:rPr>
        <w:t>二、交易逻辑</w:t>
      </w:r>
    </w:p>
    <w:p>
      <w:pPr>
        <w:spacing w:line="240" w:lineRule="auto"/>
        <w:ind w:firstLine="560"/>
        <w:jc w:val="both"/>
      </w:pPr>
      <w:r>
        <w:rPr>
          <w:rFonts w:ascii="Times New Roman" w:hAnsi="Times New Roman" w:eastAsia="仿宋" w:cs="Times New Roman"/>
          <w:b w:val="0"/>
          <w:sz w:val="28"/>
        </w:rPr>
        <w:t>从并购战略考量看，通威股份收购青海丽豪的核心目标是逆周期整合优质产能，巩固规模优势。在行业低谷期，资产价格往往被低估，龙头企业通过低成本收购可快速扩充产能，避免新建项目的时间成本和不确定性。此外，青海丽豪地处西北，具有电力成本优势，与通威现有产能形成互补。</w:t>
      </w:r>
    </w:p>
    <w:p>
      <w:pPr>
        <w:spacing w:line="240" w:lineRule="auto"/>
        <w:ind w:firstLine="560"/>
        <w:jc w:val="both"/>
      </w:pPr>
      <w:r>
        <w:rPr>
          <w:rFonts w:ascii="Times New Roman" w:hAnsi="Times New Roman" w:eastAsia="仿宋" w:cs="Times New Roman"/>
          <w:b w:val="0"/>
          <w:sz w:val="28"/>
        </w:rPr>
        <w:t>在标的筛选上，通威股份优先选择与自身业务高度同质、技术路线相近的企业，降低整合风险。青海丽豪的产线设计符合行业主流方向，且团队具备一定经验，利于后续协同。</w:t>
      </w:r>
    </w:p>
    <w:p>
      <w:pPr>
        <w:spacing w:line="240" w:lineRule="auto"/>
        <w:ind w:firstLine="560"/>
        <w:jc w:val="both"/>
      </w:pPr>
      <w:r>
        <w:rPr>
          <w:rFonts w:ascii="Times New Roman" w:hAnsi="Times New Roman" w:eastAsia="仿宋" w:cs="Times New Roman"/>
          <w:b w:val="0"/>
          <w:sz w:val="28"/>
        </w:rPr>
        <w:t>交易结构设计方面，通威采用分步收购策略：先以少量资金获取股权锁定标的，待条件成熟后再增持至控股。这种安排既控制了初期风险，又能在市场变化时灵活调整。支付方式主要为现金，避免稀释上市公司股权。</w:t>
      </w:r>
    </w:p>
    <w:p>
      <w:pPr>
        <w:spacing w:line="240" w:lineRule="auto"/>
        <w:ind w:firstLine="560"/>
        <w:jc w:val="both"/>
      </w:pPr>
      <w:r>
        <w:rPr>
          <w:rFonts w:ascii="Times New Roman" w:hAnsi="Times New Roman" w:eastAsia="仿宋" w:cs="Times New Roman"/>
          <w:b w:val="0"/>
          <w:sz w:val="28"/>
        </w:rPr>
        <w:t>并购后整合与价值释放方面，通威股份通过统一采购、优化排产等方式降低成本，同时利用自身品牌和渠道优势帮助青海丽豪提升产品竞争力。据公开报道，整合后硅料综合生产成本有所下降，资产盈利能力逐步改善。</w:t>
      </w:r>
    </w:p>
    <w:p>
      <w:pPr>
        <w:spacing w:before="160" w:after="80"/>
        <w:ind w:firstLine="200"/>
      </w:pPr>
      <w:r>
        <w:rPr>
          <w:rFonts w:ascii="Times New Roman" w:hAnsi="Times New Roman" w:eastAsia="仿宋" w:cs="Times New Roman"/>
          <w:b/>
          <w:sz w:val="28"/>
        </w:rPr>
        <w:t>三、可复用经验</w:t>
      </w:r>
    </w:p>
    <w:p>
      <w:pPr>
        <w:spacing w:line="240" w:lineRule="auto"/>
        <w:ind w:firstLine="560"/>
        <w:jc w:val="both"/>
      </w:pPr>
      <w:r>
        <w:rPr>
          <w:rFonts w:ascii="Times New Roman" w:hAnsi="Times New Roman" w:eastAsia="仿宋" w:cs="Times New Roman"/>
          <w:b w:val="0"/>
          <w:sz w:val="28"/>
        </w:rPr>
        <w:t>经验一：把握产业周期，逆向布局。当行业进入低谷，多数企业收缩时，龙头企业可借助资金和平台优势，以较低成本收购同类资产，实现低成本扩张。决策者应建立行业景气度监测机制，在周期底部果断出手。</w:t>
      </w:r>
    </w:p>
    <w:p>
      <w:pPr>
        <w:spacing w:line="240" w:lineRule="auto"/>
        <w:ind w:firstLine="560"/>
        <w:jc w:val="both"/>
      </w:pPr>
      <w:r>
        <w:rPr>
          <w:rFonts w:ascii="Times New Roman" w:hAnsi="Times New Roman" w:eastAsia="仿宋" w:cs="Times New Roman"/>
          <w:b w:val="0"/>
          <w:sz w:val="28"/>
        </w:rPr>
        <w:t>经验二：采用分步交易，控制风险。先以少数股权介入，再根据标的运营情况和市场环境决定是否进一步增持，既能锁定机会，又保留退出灵活性。</w:t>
      </w:r>
    </w:p>
    <w:p>
      <w:pPr>
        <w:spacing w:line="240" w:lineRule="auto"/>
        <w:ind w:firstLine="560"/>
        <w:jc w:val="both"/>
      </w:pPr>
      <w:r>
        <w:rPr>
          <w:rFonts w:ascii="Times New Roman" w:hAnsi="Times New Roman" w:eastAsia="仿宋" w:cs="Times New Roman"/>
          <w:b w:val="0"/>
          <w:sz w:val="28"/>
        </w:rPr>
        <w:t>经验三：标的选择注重协同性。优先收购与自身业务高度互补或同质的资产，减少技术和管理整合难度。区位、成本结构等细节对整合效果影响显著。</w:t>
      </w:r>
    </w:p>
    <w:p>
      <w:pPr>
        <w:spacing w:line="240" w:lineRule="auto"/>
        <w:ind w:firstLine="560"/>
        <w:jc w:val="both"/>
      </w:pPr>
      <w:r>
        <w:rPr>
          <w:rFonts w:ascii="Times New Roman" w:hAnsi="Times New Roman" w:eastAsia="仿宋" w:cs="Times New Roman"/>
          <w:b w:val="0"/>
          <w:sz w:val="28"/>
        </w:rPr>
        <w:t>经验四：整合重在实效。收购后迅速将标的纳入上市公司运营体系，通过管理输出、资源共享实现降本增效，避免“只并不整”。</w:t>
      </w:r>
    </w:p>
    <w:p>
      <w:pPr>
        <w:spacing w:before="160" w:after="80"/>
        <w:ind w:firstLine="200"/>
      </w:pPr>
      <w:r>
        <w:rPr>
          <w:rFonts w:ascii="Times New Roman" w:hAnsi="Times New Roman" w:eastAsia="仿宋" w:cs="Times New Roman"/>
          <w:b/>
          <w:sz w:val="28"/>
        </w:rPr>
        <w:t>四、结论</w:t>
      </w:r>
    </w:p>
    <w:p>
      <w:pPr>
        <w:spacing w:line="240" w:lineRule="auto"/>
        <w:ind w:firstLine="560"/>
        <w:jc w:val="both"/>
      </w:pPr>
      <w:r>
        <w:rPr>
          <w:rFonts w:ascii="Times New Roman" w:hAnsi="Times New Roman" w:eastAsia="仿宋" w:cs="Times New Roman"/>
          <w:b w:val="0"/>
          <w:sz w:val="28"/>
        </w:rPr>
        <w:t>通威股份收购青海丽豪的案例表明，对于拥有上市平台且现金流充裕的企业，行业低谷期是进行横向整合的战略窗口。并购成功的关键在于：精准判断周期、合理设计交易结构、选择协同度高的标的、以及高效的整合执行。决策者应避免盲目抄底，而应基于自身战略能力和整合经验做出决策。此外，监管政策（如反垄断审查、关联交易审议）对交易节奏的影响也需提前评估。总体而言，逆周期并购是提升行业集中度、巩固龙头地位的有效手段，但需以审慎的尽调和可控的风险为前提。</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ind w:firstLine="560"/>
      <w:jc w:val="both"/>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