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关联并购的四年拉锯：海汽集团并购案例启示</w:t>
      </w:r>
    </w:p>
    <w:p>
      <w:pPr>
        <w:spacing w:line="240" w:lineRule="auto"/>
        <w:ind w:firstLine="560"/>
        <w:jc w:val="both"/>
      </w:pPr>
      <w:r>
        <w:rPr>
          <w:rFonts w:ascii="Times New Roman" w:hAnsi="Times New Roman" w:eastAsia="仿宋" w:cs="Times New Roman"/>
          <w:b w:val="0"/>
          <w:sz w:val="28"/>
        </w:rPr>
        <w:t>海汽集团作为海南地区道路运输企业，近年启动对关联方旗下同类资产的收购。据公开资料披露，该交易自筹划起历时约四年，方案经历多次调整，标的估值较初期出现明显下降。本文从交易过程、战略逻辑、可复用经验等维度，分析关联并购中的博弈与方案灵活性。</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海汽集团拟收购关联方持有的海南海汽控股旗下部分资产，旨在整合同类型业务资源。据公告，交易最初于2019年前后披露预案，计划通过发行股份及支付现金方式购买标的资产。</w:t>
      </w:r>
    </w:p>
    <w:p>
      <w:pPr>
        <w:spacing w:line="240" w:lineRule="auto"/>
        <w:ind w:firstLine="560"/>
        <w:jc w:val="both"/>
      </w:pPr>
      <w:r>
        <w:rPr>
          <w:rFonts w:ascii="Times New Roman" w:hAnsi="Times New Roman" w:eastAsia="仿宋" w:cs="Times New Roman"/>
          <w:b w:val="0"/>
          <w:sz w:val="28"/>
        </w:rPr>
        <w:t>在推进过程中，交易方案发生多次变更。标的资产的估值从最初约十多亿元逐步下调，且交易对价、支付方式、业绩承诺等条款均有所调整。期间，监管机构就交易的必要性、定价公允性、关联交易合规性等发出多轮问询。</w:t>
      </w:r>
    </w:p>
    <w:p>
      <w:pPr>
        <w:spacing w:line="240" w:lineRule="auto"/>
        <w:ind w:firstLine="560"/>
        <w:jc w:val="both"/>
      </w:pPr>
      <w:r>
        <w:rPr>
          <w:rFonts w:ascii="Times New Roman" w:hAnsi="Times New Roman" w:eastAsia="仿宋" w:cs="Times New Roman"/>
          <w:b w:val="0"/>
          <w:sz w:val="28"/>
        </w:rPr>
        <w:t>截至公开信息可查询的时间点，该交易尚未完成交割。据披露，上市公司与交易对方仍在就方案细节进行协商，后续进展存在一定不确定性。</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从并购战略考量，海汽集团拟通过上市平台整合关联方同类资产，实现业务协同和规模效应。作为地方道路运输龙头企业，收购集团内资产有助于减少同业竞争，提升运营效率。</w:t>
      </w:r>
    </w:p>
    <w:p>
      <w:pPr>
        <w:spacing w:line="240" w:lineRule="auto"/>
        <w:ind w:firstLine="560"/>
        <w:jc w:val="both"/>
      </w:pPr>
      <w:r>
        <w:rPr>
          <w:rFonts w:ascii="Times New Roman" w:hAnsi="Times New Roman" w:eastAsia="仿宋" w:cs="Times New Roman"/>
          <w:b w:val="0"/>
          <w:sz w:val="28"/>
        </w:rPr>
        <w:t>在标的筛选方面，选择关联方资产可降低信息不对称，但同时也需平衡关联交易带来的治理挑战。交易结构设计上，上市公司曾尝试发行股份、现金支付、募集配套资金等多种方式，体现方案灵活性。</w:t>
      </w:r>
    </w:p>
    <w:p>
      <w:pPr>
        <w:spacing w:line="240" w:lineRule="auto"/>
        <w:ind w:firstLine="560"/>
        <w:jc w:val="both"/>
      </w:pPr>
      <w:r>
        <w:rPr>
          <w:rFonts w:ascii="Times New Roman" w:hAnsi="Times New Roman" w:eastAsia="仿宋" w:cs="Times New Roman"/>
          <w:b w:val="0"/>
          <w:sz w:val="28"/>
        </w:rPr>
        <w:t>估值调整是本次交易的关键特征。据公开报道，标的估值在过程中显著下降，反映出交易双方对资产价值的重新评估以及监管对估值合理性的审慎态度。从交易安排看，业绩承诺和补偿条款也随之调整，以平衡双方利益。</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val="0"/>
          <w:sz w:val="28"/>
        </w:rPr>
        <w:t>关联并购中，定价公允性是监管关注重点。建议企业决策者在交易初期即引入独立评估机构，并充分披露估值依据，以降低后期调整风险。</w:t>
      </w:r>
    </w:p>
    <w:p>
      <w:pPr>
        <w:spacing w:line="240" w:lineRule="auto"/>
        <w:ind w:firstLine="560"/>
        <w:jc w:val="both"/>
      </w:pPr>
      <w:r>
        <w:rPr>
          <w:rFonts w:ascii="Times New Roman" w:hAnsi="Times New Roman" w:eastAsia="仿宋" w:cs="Times New Roman"/>
          <w:b w:val="0"/>
          <w:sz w:val="28"/>
        </w:rPr>
        <w:t>方案设计应预留调整空间。海汽集团的案例表明，当外部环境或监管要求变化时，灵活调整交易对价、支付方式或标的范围，有助于推动交易持续进行。</w:t>
      </w:r>
    </w:p>
    <w:p>
      <w:pPr>
        <w:spacing w:line="240" w:lineRule="auto"/>
        <w:ind w:firstLine="560"/>
        <w:jc w:val="both"/>
      </w:pPr>
      <w:r>
        <w:rPr>
          <w:rFonts w:ascii="Times New Roman" w:hAnsi="Times New Roman" w:eastAsia="仿宋" w:cs="Times New Roman"/>
          <w:b w:val="0"/>
          <w:sz w:val="28"/>
        </w:rPr>
        <w:t>与监管机构保持主动沟通至关重要。针对问询函中提及的问题，及时、详实地回复，并视情况调整方案，可增加交易过审概率。</w:t>
      </w:r>
    </w:p>
    <w:p>
      <w:pPr>
        <w:spacing w:line="240" w:lineRule="auto"/>
        <w:ind w:firstLine="560"/>
        <w:jc w:val="both"/>
      </w:pPr>
      <w:r>
        <w:rPr>
          <w:rFonts w:ascii="Times New Roman" w:hAnsi="Times New Roman" w:eastAsia="仿宋" w:cs="Times New Roman"/>
          <w:b w:val="0"/>
          <w:sz w:val="28"/>
        </w:rPr>
        <w:t>对于依托上市平台整合同类资产的企业，需注意关联交易的合规程序，包括独立董事事前认可、关联股东回避表决等，避免治理瑕疵。</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海汽集团关联并购案例展示了复杂交易中方案反复与估值博弈的典型特征。对有并购需求的企业决策者，启示如下：</w:t>
      </w:r>
    </w:p>
    <w:p>
      <w:pPr>
        <w:spacing w:line="240" w:lineRule="auto"/>
        <w:ind w:firstLine="560"/>
        <w:jc w:val="both"/>
      </w:pPr>
      <w:r>
        <w:rPr>
          <w:rFonts w:ascii="Times New Roman" w:hAnsi="Times New Roman" w:eastAsia="仿宋" w:cs="Times New Roman"/>
          <w:b/>
          <w:sz w:val="28"/>
        </w:rPr>
        <w:t>第一，关联并购虽能降低信息成本，但需更加注重监管合规与中小股东利益保护，定价应经得起推敲。</w:t>
      </w:r>
    </w:p>
    <w:p>
      <w:pPr>
        <w:spacing w:line="240" w:lineRule="auto"/>
        <w:ind w:firstLine="560"/>
        <w:jc w:val="both"/>
      </w:pPr>
      <w:r>
        <w:rPr>
          <w:rFonts w:ascii="Times New Roman" w:hAnsi="Times New Roman" w:eastAsia="仿宋" w:cs="Times New Roman"/>
          <w:b/>
          <w:sz w:val="28"/>
        </w:rPr>
        <w:t>第二，交易方案应具备弹性，避免因条件僵化导致推进受阻。</w:t>
      </w:r>
      <w:r>
        <w:rPr>
          <w:rFonts w:ascii="Times New Roman" w:hAnsi="Times New Roman" w:eastAsia="仿宋" w:cs="Times New Roman"/>
          <w:b w:val="0"/>
          <w:sz w:val="28"/>
        </w:rPr>
        <w:t>在估值、支付方式、业绩承诺等环节保留调整机制。</w:t>
      </w:r>
    </w:p>
    <w:p>
      <w:pPr>
        <w:spacing w:line="240" w:lineRule="auto"/>
        <w:ind w:firstLine="560"/>
        <w:jc w:val="both"/>
      </w:pPr>
      <w:r>
        <w:rPr>
          <w:rFonts w:ascii="Times New Roman" w:hAnsi="Times New Roman" w:eastAsia="仿宋" w:cs="Times New Roman"/>
          <w:b/>
          <w:sz w:val="28"/>
        </w:rPr>
        <w:t>第三，时间成本不可忽视。</w:t>
      </w:r>
      <w:r>
        <w:rPr>
          <w:rFonts w:ascii="Times New Roman" w:hAnsi="Times New Roman" w:eastAsia="仿宋" w:cs="Times New Roman"/>
          <w:b w:val="0"/>
          <w:sz w:val="28"/>
        </w:rPr>
        <w:t>长周期交易可能面临市场变化、资产价值波动等风险，需提前规划应对策略。</w:t>
      </w:r>
    </w:p>
    <w:p>
      <w:pPr>
        <w:spacing w:line="240" w:lineRule="auto"/>
        <w:ind w:firstLine="560"/>
        <w:jc w:val="both"/>
      </w:pPr>
      <w:r>
        <w:rPr>
          <w:rFonts w:ascii="Times New Roman" w:hAnsi="Times New Roman" w:eastAsia="仿宋" w:cs="Times New Roman"/>
          <w:b w:val="0"/>
          <w:sz w:val="28"/>
        </w:rPr>
        <w:t>第四，充分借力专业中介机构，在财务、法律、行业分析等方面获取独立意见，提升交易方案的稳健性。</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