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天迈科技拟收购上海芬能：控股权更迭后的资产注入与平台整合</w:t>
      </w:r>
    </w:p>
    <w:p>
      <w:pPr>
        <w:spacing w:line="240" w:lineRule="auto"/>
        <w:ind w:firstLine="560"/>
        <w:jc w:val="both"/>
      </w:pPr>
      <w:r>
        <w:rPr>
          <w:rFonts w:ascii="Times New Roman" w:hAnsi="Times New Roman" w:eastAsia="仿宋" w:cs="Times New Roman"/>
          <w:b w:val="0"/>
          <w:sz w:val="28"/>
        </w:rPr>
        <w:t>2023年，天迈科技（作为已发生控股权变更的上市公司）公告拟收购上海芬能，交易旨在通过上市平台持续整合同类资产。本案例重点分析控股权变更后新实控人如何借助上市公司平台进行资产注入，以及“PE+上市公司”模式下的持续运作逻辑。</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据公开资料显示，天迈科技在控股权变更后，新实控人计划将旗下上海芬能（一家从事能源相关业务的公司）注入上市公司。前期动因方面，天迈科技作为已有上市平台，具备再融资和资本运作条件，而上海芬能业务与公司原有业务具有协同性，且成长性较好。新实控人希望通过注入资产提升上市公司盈利能力和市值。</w:t>
      </w:r>
    </w:p>
    <w:p>
      <w:pPr>
        <w:spacing w:line="240" w:lineRule="auto"/>
        <w:ind w:firstLine="560"/>
        <w:jc w:val="both"/>
      </w:pPr>
      <w:r>
        <w:rPr>
          <w:rFonts w:ascii="Times New Roman" w:hAnsi="Times New Roman" w:eastAsia="仿宋" w:cs="Times New Roman"/>
          <w:b w:val="0"/>
          <w:sz w:val="28"/>
        </w:rPr>
        <w:t>交易推进过程中，公司披露了初步收购意向，并聘请中介机构进行尽职调查。据公告披露，交易方式可能包括发行股份及支付现金购买资产，同时可能募集配套资金。交易对价以评估值为基础协商确定，并设置业绩承诺条款以保障中小股东利益。截至报告撰写时，交易尚处于筹划阶段，后续需经董事会、股东大会及监管机构批准。</w:t>
      </w:r>
    </w:p>
    <w:p>
      <w:pPr>
        <w:spacing w:line="240" w:lineRule="auto"/>
        <w:ind w:firstLine="560"/>
        <w:jc w:val="both"/>
      </w:pPr>
      <w:r>
        <w:rPr>
          <w:rFonts w:ascii="Times New Roman" w:hAnsi="Times New Roman" w:eastAsia="仿宋" w:cs="Times New Roman"/>
          <w:b w:val="0"/>
          <w:sz w:val="28"/>
        </w:rPr>
        <w:t>若交易完成，上海芬能将成为天迈科技全资或控股子公司，实控人将实现对上市公司的进一步控制。后续整合计划包括业务协同、管理整合及财务并表等，具体方案待明确。</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并购战略考量，天迈科技收购上海芬能属于“依托上市平台持续整合同类资产”的典型操作。新实控人入主后，需要快速提升上市公司资产质量和盈利能力，而注入自身持有的优质资产是高效路径。该交易符合实控人打造能源业务板块的长期战略，也符合资本市场对上市公司业务聚焦的期待。</w:t>
      </w:r>
    </w:p>
    <w:p>
      <w:pPr>
        <w:spacing w:line="240" w:lineRule="auto"/>
        <w:ind w:firstLine="560"/>
        <w:jc w:val="both"/>
      </w:pPr>
      <w:r>
        <w:rPr>
          <w:rFonts w:ascii="Times New Roman" w:hAnsi="Times New Roman" w:eastAsia="仿宋" w:cs="Times New Roman"/>
          <w:b w:val="0"/>
          <w:sz w:val="28"/>
        </w:rPr>
        <w:t>在标的筛选上，上海芬能与天迈科技原有业务在技术、客户或供应链上存在关联，交易后能产生协同效应。同时，上海芬能具备一定的规模和成长性，评估值合理，且权属清晰，减少了整合风险。</w:t>
      </w:r>
    </w:p>
    <w:p>
      <w:pPr>
        <w:spacing w:line="240" w:lineRule="auto"/>
        <w:ind w:firstLine="560"/>
        <w:jc w:val="both"/>
      </w:pPr>
      <w:r>
        <w:rPr>
          <w:rFonts w:ascii="Times New Roman" w:hAnsi="Times New Roman" w:eastAsia="仿宋" w:cs="Times New Roman"/>
          <w:b w:val="0"/>
          <w:sz w:val="28"/>
        </w:rPr>
        <w:t>交易结构设计方面，采用发行股份加现金的方式，一方面减少上市公司现金支出，另一方面通过股份对价绑定原股东利益。业绩承诺条款设置有助于保障上市公司业绩稳定。此外，由于交易构成关联交易，需履行相应的审议和回避程序，确保定价公允。</w:t>
      </w:r>
    </w:p>
    <w:p>
      <w:pPr>
        <w:spacing w:line="240" w:lineRule="auto"/>
        <w:ind w:firstLine="560"/>
        <w:jc w:val="both"/>
      </w:pPr>
      <w:r>
        <w:rPr>
          <w:rFonts w:ascii="Times New Roman" w:hAnsi="Times New Roman" w:eastAsia="仿宋" w:cs="Times New Roman"/>
          <w:b w:val="0"/>
          <w:sz w:val="28"/>
        </w:rPr>
        <w:t>并购后整合与价值释放方面，天迈科技需将上海芬能纳入现有管理体系，实现人员、财务、业务的深度融合。通过统一采购、销售渠道共享、技术研发协同，有望降低成本、提升效率。同时，借助上市公司的融资平台，上海芬能可获取更多发展资金，加速业务扩张，从而释放整体价值。</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sz w:val="28"/>
        </w:rPr>
        <w:t>第一，控股权变更后的资产注入需注重合规性。</w:t>
      </w:r>
      <w:r>
        <w:rPr>
          <w:rFonts w:ascii="Times New Roman" w:hAnsi="Times New Roman" w:eastAsia="仿宋" w:cs="Times New Roman"/>
          <w:b w:val="0"/>
          <w:sz w:val="28"/>
        </w:rPr>
        <w:t>上市公司在交易中应严格遵循关联交易审议程序，充分披露信息，聘请独立财务顾问和评估机构，确保定价公允，避免损害中小股东利益。</w:t>
      </w:r>
    </w:p>
    <w:p>
      <w:pPr>
        <w:spacing w:line="240" w:lineRule="auto"/>
        <w:ind w:firstLine="560"/>
        <w:jc w:val="both"/>
      </w:pPr>
      <w:r>
        <w:rPr>
          <w:rFonts w:ascii="Times New Roman" w:hAnsi="Times New Roman" w:eastAsia="仿宋" w:cs="Times New Roman"/>
          <w:b/>
          <w:sz w:val="28"/>
        </w:rPr>
        <w:t>第二，合理设计交易结构以平衡多方利益。</w:t>
      </w:r>
      <w:r>
        <w:rPr>
          <w:rFonts w:ascii="Times New Roman" w:hAnsi="Times New Roman" w:eastAsia="仿宋" w:cs="Times New Roman"/>
          <w:b w:val="0"/>
          <w:sz w:val="28"/>
        </w:rPr>
        <w:t>采用股份加现金支付、设置业绩承诺与补偿机制，可降低收购风险，激励标的管理团队。同时，注意避免摊薄过度，保护现有股东权益。</w:t>
      </w:r>
    </w:p>
    <w:p>
      <w:pPr>
        <w:spacing w:line="240" w:lineRule="auto"/>
        <w:ind w:firstLine="560"/>
        <w:jc w:val="both"/>
      </w:pPr>
      <w:r>
        <w:rPr>
          <w:rFonts w:ascii="Times New Roman" w:hAnsi="Times New Roman" w:eastAsia="仿宋" w:cs="Times New Roman"/>
          <w:b/>
          <w:sz w:val="28"/>
        </w:rPr>
        <w:t>第三，整合是价值实现的关键。</w:t>
      </w:r>
      <w:r>
        <w:rPr>
          <w:rFonts w:ascii="Times New Roman" w:hAnsi="Times New Roman" w:eastAsia="仿宋" w:cs="Times New Roman"/>
          <w:b w:val="0"/>
          <w:sz w:val="28"/>
        </w:rPr>
        <w:t>收购完成后，需尽快启动业务整合计划，明确组织架构、人员安排和流程对接，确保协同效应如期兑现。建议设立整合工作小组，定期评估进展。</w:t>
      </w:r>
    </w:p>
    <w:p>
      <w:pPr>
        <w:spacing w:line="240" w:lineRule="auto"/>
        <w:ind w:firstLine="560"/>
        <w:jc w:val="both"/>
      </w:pPr>
      <w:r>
        <w:rPr>
          <w:rFonts w:ascii="Times New Roman" w:hAnsi="Times New Roman" w:eastAsia="仿宋" w:cs="Times New Roman"/>
          <w:b w:val="0"/>
          <w:sz w:val="28"/>
        </w:rPr>
        <w:t>第四，“PE+上市公司”模式下，实控人应具备持续的资产储备和整合能力。选择上市平台时需关注其规范程度、融资能力和主业协同性，避免为注入而注入。</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天迈科技拟收购上海芬能案例为有并购需求的企业决策者提供了以下启示：在控股权发生变更后，新实控人可利用上市公司平台持续注入同类资产，实现资产证券化和价值提升。该模式成功的关键在于选择匹配的标的、设计合理的交易结构以及扎实推进整合。决策者应重视合规风险，充分借助专业中介力量，确保交易公平透明。同时，应建立长效的整合机制，避免“重交易、轻整合”的倾向。最终，此类操作有助于上市公司优化业务结构、增强持续盈利能力，对有意通过资本运作做优做强的企业具有参考价值。</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