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美丽田园12.5亿收购思妍丽：高端美容市场整合加速，多品牌协同待考验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2023年9月，港股上市美容企业美丽田园宣布以约12.5亿元人民币收购高端美容连锁品牌思妍丽100%股权，成为当年中国美容行业最大并购案例之一。交易完成后，美丽田园旗下门店数量将超过400家，覆盖国内主要城市。本次收购依托上市公司平台横向整合同类资产，旨在扩大规模、提升市占率，但多品牌运营及整合效果仍需观察。本报告从交易过程、交易逻辑、可复用经验及结论四个维度进行分析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1. 前期动因：美丽田园自2023年1月在港交所上市后，即提出“内生增长+外延并购”双轮驱动战略。思妍丽作为与美丽田园定位相近的高端美容连锁品牌，在全国拥有约120家直营门店，且部分门店位于核心商圈，与美丽田园现有门店网络存在互补。公开资料显示，思妍丽在2022年收入约5亿元，净利润约5000万元，具备较好的盈利基础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2. 交易推进：2023年9月，美丽田园发布公告，拟通过全资子公司以现金方式收购思妍丽全部股权，交易对价约12.5亿元（最终披露金额为12.34亿元）。资金来源包括自有资金及银行借款。交易采用收益法评估，溢价率较高。2023年10月，交易完成交割，思妍丽成为美丽田园全资子公司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3. 后续整合：交易完成后，美丽田原保留思妍丽原有管理团队，并在供应链、会员体系、IT系统等方面逐步整合。据公司公告，预计在12至18个月内完成核心系统对接，并推出“双品牌”会员权益互通。但截至报告发布，整合进展未见详细披露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1. 并购战略考量：美丽田园通过收购快速扩大市场份额，减少竞争对手。高端美容行业市场规模增速趋缓，头部品牌通过并购实现规模化效应，降低运营成本。此外，美丽田园上市后融资渠道拓宽，具备实施较大规模并购的资金实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2. 标的筛选：思妍丽与美丽田园在客户画像、服务价位、门店选址上高度重叠，但品牌调性略有差异（美丽田园偏医疗级，思妍丽偏生活美容）。收购可填补美丽田园在部分一二线城市的空白区域，并获取思妍丽积累的百万级会员数据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3. 交易结构设计：全现金收购，不涉及股份支付，避免稀释原股东权益。但交易对价对应约25倍PE，估值处于行业较高水平，需依赖未来业绩增长支撑。交易设置业绩对赌条款吗？公开信息未明确提及。从公告看，采用一次性支付，无分期安排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4. 并购后整合与价值释放：整合关键在于供应链集中采购、门店标准化管理、跨品牌导流。美丽田园计划将思妍丽产品线纳入自身自研产品体系，提升毛利率。同时，通过统一中后台系统，降低管理费用。但双品牌运营可能带来定位模糊，需避免内部竞争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1. 上市平台是横向整合的基础：美丽田园上市仅8个月即发起并购，借助资本市场的融资能力与品牌信用，降低交易对方对支付能力的担忧。类似拟并购的企业决策者，可优先考虑推动上市或取得并购融资工具。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2. 选择互补性强、管理团队稳定的标的：思妍丽原有创始人及核心高管留任，有助于平稳过渡。若标的管理层流失，整合难度将显著上升。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3. 现金并购需谨慎评估杠杆风险：12.5亿元对美丽田园而言规模较大（交易前账面现金约6亿元，剩余通过债务融资），需确保经营性现金流能覆盖本息。决策者应评估收购后合并资产负债表的稳健性。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4. 多品牌协同需明确差异化定位：美丽田园与思妍丽在品牌形象上存在交集，若未及时区分，可能导致消费者认知混淆。建议保留各自品牌独立性，在后台共享资源。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丽田园收购思妍丽为消费行业“上市公司+横向整合”提供了典型范例。交易成功之处在于标的质地优良、整合计划清晰；潜在挑战在于高估值带来的商誉压力以及双品牌运营的协同效果。对于有并购需求的企业决策者，建议：一是充分利用上市平台优势，在资金充裕时主动整合；二是在交易前做好标的尽调，重点考察管理团队稳定性与品牌差异；三是设计合理的估值与支付架构，避免过高商誉拖累未来利润；四是制定详细的整合路线图，并在执行中动态调整。整体而言，该案例启示企业通过并购实现规模扩张是可行的，但价值释放依赖于后续运营的精细化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