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盈新发展5.2亿元跨界收购“小巨人”：中小上市公司转型的估值与整合挑战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2023年，盈新发展以现金5.2亿元收购一家国家级专精特新“小巨人”企业控股权。本次交易涉及上市公司跨界进入新赛道，其估值合理性及后续整合能力引发市场关注。本报告从交易过程、战略逻辑、可复用经验等维度展开分析，旨在为有并购需求的企业决策者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据公开资料显示，盈新发展前身主营传统建筑装饰业务，近年业绩承压。为寻求新增长点，公司于2023年初开始接触标的公司——一家在工业自动化领域拥有多项核心技术的国家级专精特新“小巨人”企业。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交易推进阶段，双方于2023年3月签署股权转让协议，盈新发展拟以现金5.2亿元收购标的公司51%股权，对应整体估值约10.2亿元。交易资金来源于公司自有资金及部分银行贷款。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2023年6月，交易完成股权过户及工商变更登记，标的公司成为盈新发展控股子公司。后续整合工作同步启动，包括管理层调整、业务对接及财务并表等。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，盈新发展原有主业增长乏力，跨界进入工业自动化这一成长性较高的赛道，旨在快速实现业务转型。标的公司具备技术壁垒和稳定的客户基础，且属于国家政策鼓励的专精特新领域，有利于上市公司获取新的盈利增长点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标的筛选方面，盈新发展选择了净资产规模较小但技术附加值高的企业，符合“小巨人”特征。交易估值对应约10倍PE，与同类可比交易相比处于合理区间，但考虑到标的公司收入基数较低（约5000万元），未来业绩承诺的可实现性存在不确定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交易结构设计上，采用全现金收购避免了股权稀释，但给上市公司带来一定资金压力。据公告披露，盈新发展资产负债率因此上升，后续需关注其现金流状况。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并购后整合方面，双方在管理风格、企业文化及业务协同上存在差异。盈新发展缺乏工业自动化领域经验，如何保留核心技术团队、实现管理融合是整合的关键挑战。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第一，跨界并购应充分评估自身整合能力。</w:t>
      </w:r>
      <w:r>
        <w:rPr>
          <w:rFonts w:ascii="Times New Roman" w:hAnsi="Times New Roman" w:eastAsia="仿宋" w:cs="Times New Roman"/>
          <w:b w:val="0"/>
          <w:sz w:val="28"/>
        </w:rPr>
        <w:t>没有相关行业经验的买家需提前组建具备专业背景的管理团队，或采用“保留原管理层”的过渡安排。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第二，估值需基于标的真实盈利前景。</w:t>
      </w:r>
      <w:r>
        <w:rPr>
          <w:rFonts w:ascii="Times New Roman" w:hAnsi="Times New Roman" w:eastAsia="仿宋" w:cs="Times New Roman"/>
          <w:b w:val="0"/>
          <w:sz w:val="28"/>
        </w:rPr>
        <w:t>对于专精特新类企业，其技术优势可能尚未完全商业化，投资者应审慎分析业绩承诺的可靠性，避免因高估值导致商誉减值风险。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第三，支付方式需结合公司现金流状况。</w:t>
      </w:r>
      <w:r>
        <w:rPr>
          <w:rFonts w:ascii="Times New Roman" w:hAnsi="Times New Roman" w:eastAsia="仿宋" w:cs="Times New Roman"/>
          <w:b w:val="0"/>
          <w:sz w:val="28"/>
        </w:rPr>
        <w:t>现金收购虽然不摊薄股权，但可能推高财务杠杆；若标的业绩未达预期，偿债压力可能引发连锁反应。可考虑分期支付或设置对赌条款以降低风险。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盈新发展跨界收购“小巨人”案例展示了中小上市公司通过并购实现转型的典型路径，同时也暴露了跨行业整合的潜在风险。决策者应认识到，并购不仅是财务交易，更是长期的管理融合。在跨界交易中，买方的产业认知、人才储备和风控机制比交易价格更为关键。建议企业在启动并购前，充分评估自身资源能否支撑标的的持续发展，制定详尽的投后管理计划，尤其关注核心团队的稳定性与业务协同的实现路径。唯有如此，跨界并购才能真正成为企业价值增长的助推器，而非财务负担的源头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