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传统制造向光通信转型：中际装备收购苏州旭创的交易结构与产业逻辑</w:t>
      </w:r>
    </w:p>
    <w:p>
      <w:pPr>
        <w:spacing w:line="240" w:lineRule="auto"/>
        <w:ind w:firstLine="560"/>
        <w:jc w:val="both"/>
      </w:pPr>
      <w:r>
        <w:rPr>
          <w:rFonts w:ascii="Times New Roman" w:hAnsi="Times New Roman" w:eastAsia="仿宋" w:cs="Times New Roman"/>
          <w:b w:val="0"/>
          <w:sz w:val="28"/>
        </w:rPr>
        <w:t>2016年至2017年，A股上市公司中际装备（股票代码300308）通过发行股份及支付现金方式收购苏州旭创100%股权，交易作价28亿元，并配套募集资金。该交易使传统电机绕组设备制造商转型为光模块制造商，由于交易后上市公司控制权发生变化且注入资产规模远超原主业，被市场视为类借壳交易。本报告从交易过程、战略逻辑以及可复用经验角度，为有类似重组需求的企业决策者提供参考。</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交易前期，中际装备主业为电机定子绕组制造装备，属于传统装备制造业，面临行业增速放缓、盈利能力下滑的困境。公司自2013年起即开始探索转型方向，曾尝试收购其他资产但未果。苏州旭创成立于2008年，主要产品为高速光模块，客户包括谷歌、亚马逊等云计算巨头，成长迅速但急需资本平台支持。</w:t>
      </w:r>
    </w:p>
    <w:p>
      <w:pPr>
        <w:spacing w:line="240" w:lineRule="auto"/>
        <w:ind w:firstLine="560"/>
        <w:jc w:val="both"/>
      </w:pPr>
      <w:r>
        <w:rPr>
          <w:rFonts w:ascii="Times New Roman" w:hAnsi="Times New Roman" w:eastAsia="仿宋" w:cs="Times New Roman"/>
          <w:b w:val="0"/>
          <w:sz w:val="28"/>
        </w:rPr>
        <w:t>2016年9月，中际装备发布重组预案，拟以28亿元收购苏州旭创，其中以13亿元现金支付、剩余15亿元通过发行股份支付，发行价格为13.55元/股。同时，上市公司拟向不超过5名特定投资者非公开发行股份募集配套资金不超过5亿元。交易完成后，苏州旭创原股东合计持有上市公司约47%股权，成为实际控制方，触发借壳认定标准（资产总额、净资产、营业收入等指标均超过100%），但因实际控制人未发生变化（原实际控制人仍保留一定股份并退出管理），被设计为类借壳。</w:t>
      </w:r>
    </w:p>
    <w:p>
      <w:pPr>
        <w:spacing w:line="240" w:lineRule="auto"/>
        <w:ind w:firstLine="560"/>
        <w:jc w:val="both"/>
      </w:pPr>
      <w:r>
        <w:rPr>
          <w:rFonts w:ascii="Times New Roman" w:hAnsi="Times New Roman" w:eastAsia="仿宋" w:cs="Times New Roman"/>
          <w:b w:val="0"/>
          <w:sz w:val="28"/>
        </w:rPr>
        <w:t>2017年3月，交易获得证监会并购重组委审核通过。同年4月，中际装备完成资产过户及新增股份上市，正式更名为中际旭创。交易后，苏州旭创原管理团队主导公司经营，原中际装备管理层逐步退出。后续几年，上市公司业绩显著改善，光模块业务成为核心利润来源。</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并购战略考量，中际装备面临主业天花板，需要注入高成长性资产实现产业转型。苏州旭创作为光模块行业头部企业，正处于数据中心市场爆发期，但缺乏独立上市渠道（IPO排队时间长且需满足盈利持续要求），通过被并购实现证券化是更高效的选择。</w:t>
      </w:r>
    </w:p>
    <w:p>
      <w:pPr>
        <w:spacing w:line="240" w:lineRule="auto"/>
        <w:ind w:firstLine="560"/>
        <w:jc w:val="both"/>
      </w:pPr>
      <w:r>
        <w:rPr>
          <w:rFonts w:ascii="Times New Roman" w:hAnsi="Times New Roman" w:eastAsia="仿宋" w:cs="Times New Roman"/>
          <w:b w:val="0"/>
          <w:sz w:val="28"/>
        </w:rPr>
        <w:t>在标的筛选上，中际装备选择与自身业务存在一定技术关联（精密制造）但市场前景不同的苏州旭创，降低了整合难度。同时，苏州旭创原股东愿意接受部分股份作为对价，体现对上市公司平台后续价值的认可。</w:t>
      </w:r>
    </w:p>
    <w:p>
      <w:pPr>
        <w:spacing w:line="240" w:lineRule="auto"/>
        <w:ind w:firstLine="560"/>
        <w:jc w:val="both"/>
      </w:pPr>
      <w:r>
        <w:rPr>
          <w:rFonts w:ascii="Times New Roman" w:hAnsi="Times New Roman" w:eastAsia="仿宋" w:cs="Times New Roman"/>
          <w:b w:val="0"/>
          <w:sz w:val="28"/>
        </w:rPr>
        <w:t>交易结构设计的核心是规避借壳审批但实现借壳效果。通过控制收购后原实际控制人仍持有一定比例股份、资产总额等指标精准设计，避免了构成重组上市（借壳）的严格审核，而实际业务控制权实现了转移。配套融资的引入则为后续产能扩张提供了资金。</w:t>
      </w:r>
    </w:p>
    <w:p>
      <w:pPr>
        <w:spacing w:line="240" w:lineRule="auto"/>
        <w:ind w:firstLine="560"/>
        <w:jc w:val="both"/>
      </w:pPr>
      <w:r>
        <w:rPr>
          <w:rFonts w:ascii="Times New Roman" w:hAnsi="Times New Roman" w:eastAsia="仿宋" w:cs="Times New Roman"/>
          <w:b w:val="0"/>
          <w:sz w:val="28"/>
        </w:rPr>
        <w:t>整合方面，交易后保留苏州旭创管理层，上市公司仅做财务管控，确保核心技术团队稳定。同时利用上市公司平台进行再融资，支持光模块扩产。数据显示，2017年至2020年，中际旭创营业收入从约20亿元增长至超过70亿元，净利润同步攀升，验证了整合效果。</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sz w:val="28"/>
        </w:rPr>
        <w:t>第一，传统企业转型可优先考虑并购财务表现优异的科技类标的，但需注意双方在制造工艺、供应链方面的协同可能。</w:t>
      </w:r>
      <w:r>
        <w:rPr>
          <w:rFonts w:ascii="Times New Roman" w:hAnsi="Times New Roman" w:eastAsia="仿宋" w:cs="Times New Roman"/>
          <w:b w:val="0"/>
          <w:sz w:val="28"/>
        </w:rPr>
        <w:t>中际装备与苏州旭创均属精密制造领域，为后续生产管理整合提供了基础。</w:t>
      </w:r>
    </w:p>
    <w:p>
      <w:pPr>
        <w:spacing w:line="240" w:lineRule="auto"/>
        <w:ind w:firstLine="560"/>
        <w:jc w:val="both"/>
      </w:pPr>
      <w:r>
        <w:rPr>
          <w:rFonts w:ascii="Times New Roman" w:hAnsi="Times New Roman" w:eastAsia="仿宋" w:cs="Times New Roman"/>
          <w:b/>
          <w:sz w:val="28"/>
        </w:rPr>
        <w:t>第二，类借壳结构可有效降低审批不确定性，但需合规设计控制权安排。</w:t>
      </w:r>
      <w:r>
        <w:rPr>
          <w:rFonts w:ascii="Times New Roman" w:hAnsi="Times New Roman" w:eastAsia="仿宋" w:cs="Times New Roman"/>
          <w:b w:val="0"/>
          <w:sz w:val="28"/>
        </w:rPr>
        <w:t>原实控人保留部分股权并退出经营，新管理层获得主导权，既满足监管要求又保障战略落地。类似结构适用于希望置入资产体量较大、但原壳业务尚有价值的交易。</w:t>
      </w:r>
    </w:p>
    <w:p>
      <w:pPr>
        <w:spacing w:line="240" w:lineRule="auto"/>
        <w:ind w:firstLine="560"/>
        <w:jc w:val="both"/>
      </w:pPr>
      <w:r>
        <w:rPr>
          <w:rFonts w:ascii="Times New Roman" w:hAnsi="Times New Roman" w:eastAsia="仿宋" w:cs="Times New Roman"/>
          <w:b/>
          <w:sz w:val="28"/>
        </w:rPr>
        <w:t>第三，选择标的时应关注其行业景气度与持续增长能力。</w:t>
      </w:r>
      <w:r>
        <w:rPr>
          <w:rFonts w:ascii="Times New Roman" w:hAnsi="Times New Roman" w:eastAsia="仿宋" w:cs="Times New Roman"/>
          <w:b w:val="0"/>
          <w:sz w:val="28"/>
        </w:rPr>
        <w:t>苏州旭创受益于数据流量增长，光模块需求持续扩张，为上市公司提供长期增长动力。企业决策者应避免并购处于下行周期的资产，以防加重转型负担。</w:t>
      </w:r>
    </w:p>
    <w:p>
      <w:pPr>
        <w:spacing w:line="240" w:lineRule="auto"/>
        <w:ind w:firstLine="560"/>
        <w:jc w:val="both"/>
      </w:pPr>
      <w:r>
        <w:rPr>
          <w:rFonts w:ascii="Times New Roman" w:hAnsi="Times New Roman" w:eastAsia="仿宋" w:cs="Times New Roman"/>
          <w:b w:val="0"/>
          <w:sz w:val="28"/>
        </w:rPr>
        <w:t>第四，交易后整合应重视管理团队留任与激励。中际旭创通过股权激励、业绩对赌等方式绑定核心人员，降低人才流失风险。据公告披露，苏州旭创原股东对2016至2018年利润作出承诺，实际超额完成，保障了过渡期业绩。</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中际装备并购苏州旭创为传统制造企业通过并购实现产业升级提供了经典范例。其成功经验在于：精准的标的遴选、合规的交易结构设计以及有效的整合方案。对有类似需求的企业决策者，启示如下：一是应优先选择处于成长期、技术壁垒高的行业；二是在控制权安排上可借鉴类借壳思路，在合规框架下实现资源置换；三是并购后须尊重原管理团队，避免过度干预导致人才流失。需注意的教训是：过度依赖单一客户（如该案例中苏州旭创前五大客户集中度较高）可能带来一定风险，企业应在整合后推动客户多元化。总体看，该交易在战略方向和执行上均具有较高参考价值。</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