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顺丰控股借壳鼎泰新材：物流龙头重组上市路径解析</w:t>
      </w:r>
    </w:p>
    <w:p>
      <w:pPr>
        <w:spacing w:line="240" w:lineRule="auto"/>
        <w:ind w:firstLine="560"/>
        <w:jc w:val="both"/>
      </w:pPr>
      <w:r>
        <w:rPr>
          <w:rFonts w:ascii="Times New Roman" w:hAnsi="Times New Roman" w:eastAsia="仿宋" w:cs="Times New Roman"/>
          <w:b w:val="0"/>
          <w:sz w:val="28"/>
        </w:rPr>
        <w:t>2016年，顺丰控股通过借壳鼎泰新材实现A股上市，成为国内快递行业龙头登陆资本市场的典型案例。本报告从交易过程、交易逻辑、可复用经验等维度分析此次重组上市安排，探讨壳资源选择、交易结构设计及后续整合要点。</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前期动因：顺丰控股为国内领先的快递物流企业，业务快速增长，需要通过资本市场融资以扩大网络和提升服务能力。相比IPO，借壳上市审核周期更短、确定性更高。鼎泰新材为A股中小板上市公司，主营业务为金属构件制造，近年业绩下滑、市值较低，股权结构相对简单，具备壳资源特征。</w:t>
      </w:r>
    </w:p>
    <w:p>
      <w:pPr>
        <w:spacing w:line="240" w:lineRule="auto"/>
        <w:ind w:firstLine="560"/>
        <w:jc w:val="both"/>
      </w:pPr>
      <w:r>
        <w:rPr>
          <w:rFonts w:ascii="Times New Roman" w:hAnsi="Times New Roman" w:eastAsia="仿宋" w:cs="Times New Roman"/>
          <w:b w:val="0"/>
          <w:sz w:val="28"/>
        </w:rPr>
        <w:t>交易推进：2016年5月，鼎泰新材公告重大资产重组方案，拟以全部资产及负债与顺丰控股100%股权等值置换，差额部分由上市公司向顺丰控股股东发行股份购买。据公开资料，置出资产作价约8亿元，置入资产（顺丰控股100%股权）作价433亿元。同时，上市公司拟向不超过10名特定投资者非公开发行股份募集配套资金，总额不超过80亿元。该交易构成重组上市（即借壳），因顺丰控股资产总额、营业收入等指标超过鼎泰新材对应指标100%以上，且控制权发生变更。</w:t>
      </w:r>
    </w:p>
    <w:p>
      <w:pPr>
        <w:spacing w:line="240" w:lineRule="auto"/>
        <w:ind w:firstLine="560"/>
        <w:jc w:val="both"/>
      </w:pPr>
      <w:r>
        <w:rPr>
          <w:rFonts w:ascii="Times New Roman" w:hAnsi="Times New Roman" w:eastAsia="仿宋" w:cs="Times New Roman"/>
          <w:b w:val="0"/>
          <w:sz w:val="28"/>
        </w:rPr>
        <w:t>交割与后续：2016年12月，交易完成资产过户，顺丰控股成为鼎泰新材的全资子公司。2017年2月，上市公司名称正式变更为“顺丰控股股份有限公司”，证券简称相应变更。后续，顺丰控股利用上市平台进行股权融资，推进物流网络扩建、信息化建设等战略项目。</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并购战略考量：顺丰控股选择借壳上市，核心考量是时间效率。当时A股IPO排队企业众多，审核周期较长，而借壳上市可通过重组委审核，时间可控。鼎泰新材市值小（约8亿元）、负债低、股权分散，属于典型“净壳”，便于资产注入和原资产剥离。</w:t>
      </w:r>
    </w:p>
    <w:p>
      <w:pPr>
        <w:spacing w:line="240" w:lineRule="auto"/>
        <w:ind w:firstLine="560"/>
        <w:jc w:val="both"/>
      </w:pPr>
      <w:r>
        <w:rPr>
          <w:rFonts w:ascii="Times New Roman" w:hAnsi="Times New Roman" w:eastAsia="仿宋" w:cs="Times New Roman"/>
          <w:b w:val="0"/>
          <w:sz w:val="28"/>
        </w:rPr>
        <w:t>交易结构设计：方案采用“资产置换+发行股份购买资产”的组合模式。首先，鼎泰新材以除拟回购股份外的全部资产及负债与顺丰控股股东持有的顺丰控股100%股权等值置换；置出资产由鼎泰新材原股东承接，实现“净壳”。置入资产与置出资产的差额部分，由上市公司向顺丰控股股东发行股份购买。配套融资用于补充流动资金及未来业务发展。估值方面，置入资产采用收益法评估，最终交易价格433亿元，对应顺丰控股2015年净利润约20亿元，估值约21倍，与行业水平相当。</w:t>
      </w:r>
    </w:p>
    <w:p>
      <w:pPr>
        <w:spacing w:line="240" w:lineRule="auto"/>
        <w:ind w:firstLine="560"/>
        <w:jc w:val="both"/>
      </w:pPr>
      <w:r>
        <w:rPr>
          <w:rFonts w:ascii="Times New Roman" w:hAnsi="Times New Roman" w:eastAsia="仿宋" w:cs="Times New Roman"/>
          <w:b w:val="0"/>
          <w:sz w:val="28"/>
        </w:rPr>
        <w:t>控制权安排：交易完成后，王卫通过明德控股等主体合计持有上市公司约64%股权，成为实际控制人。原鼎泰新材控股股东刘冀鲁持股比例降至极低，不再拥有控制权。该安排符合借壳上市认定标准。</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val="0"/>
          <w:sz w:val="28"/>
        </w:rPr>
        <w:t>壳资源选择标准：从该案例看，理想的壳公司应具备市值小、资产负债率低、股权结构清晰、无重大法律纠纷等特点。鼎泰新材市值约8亿元，负债率低，股东人数适中，便于交易推进和监管审核。</w:t>
      </w:r>
    </w:p>
    <w:p>
      <w:pPr>
        <w:spacing w:line="240" w:lineRule="auto"/>
        <w:ind w:firstLine="560"/>
        <w:jc w:val="both"/>
      </w:pPr>
      <w:r>
        <w:rPr>
          <w:rFonts w:ascii="Times New Roman" w:hAnsi="Times New Roman" w:eastAsia="仿宋" w:cs="Times New Roman"/>
          <w:b w:val="0"/>
          <w:sz w:val="28"/>
        </w:rPr>
        <w:t>交易结构设计的灵活性：资产置换与发行股份的组合方式，实现了“净壳”目的——壳公司原有业务和资产被剥离，新注入资产成为上市公司主体。配套融资可同步解决部分资金需求，但需注意融资规模与项目匹配性。</w:t>
      </w:r>
    </w:p>
    <w:p>
      <w:pPr>
        <w:spacing w:line="240" w:lineRule="auto"/>
        <w:ind w:firstLine="560"/>
        <w:jc w:val="both"/>
      </w:pPr>
      <w:r>
        <w:rPr>
          <w:rFonts w:ascii="Times New Roman" w:hAnsi="Times New Roman" w:eastAsia="仿宋" w:cs="Times New Roman"/>
          <w:b w:val="0"/>
          <w:sz w:val="28"/>
        </w:rPr>
        <w:t>监管沟通与合规准备：借壳上市审核标准视同IPO，对资产合规、财务真实性、独立性等要求严格。顺丰控股在交易前完成了内部股权梳理、历史沿革清理等合规工作，确保审核顺利通过。</w:t>
      </w:r>
    </w:p>
    <w:p>
      <w:pPr>
        <w:spacing w:line="240" w:lineRule="auto"/>
        <w:ind w:firstLine="560"/>
        <w:jc w:val="both"/>
      </w:pPr>
      <w:r>
        <w:rPr>
          <w:rFonts w:ascii="Times New Roman" w:hAnsi="Times New Roman" w:eastAsia="仿宋" w:cs="Times New Roman"/>
          <w:b w:val="0"/>
          <w:sz w:val="28"/>
        </w:rPr>
        <w:t>后续整合与价值释放：上市后，上市公司应充分利用资本市场再融资功能，持续投入主业扩张。顺丰控股在上市后多次增发融资，用于转运中心建设、航空运力提升等，巩固了行业领先地位。同时，需注意避免与原壳公司股东之间因资产剥离产生的协调问题。</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经验与启示：借壳上市为优质非上市资产提供了快速对接资本市场的渠道，尤其适合对时效性要求高的企业。选择壳资源时，应重点关注壳公司的债务风险、股权结构和历史合规性。交易结构设计需兼顾监管要求与商业诉求，如合理确定置入资产估值、安排业绩补偿等。重组后，上市公司应尽快实现业务独立，避免关联交易，并制定清晰的资本运作规划。</w:t>
      </w:r>
    </w:p>
    <w:p>
      <w:pPr>
        <w:spacing w:line="240" w:lineRule="auto"/>
        <w:ind w:firstLine="560"/>
        <w:jc w:val="both"/>
      </w:pPr>
      <w:r>
        <w:rPr>
          <w:rFonts w:ascii="Times New Roman" w:hAnsi="Times New Roman" w:eastAsia="仿宋" w:cs="Times New Roman"/>
          <w:b w:val="0"/>
          <w:sz w:val="28"/>
        </w:rPr>
        <w:t>需要关注的方面：借壳上市涉及壳公司原股东退出，需平衡各方利益，避免潜在纠纷。此外，监管对借壳上市审核趋严，资产质量不达标或方案设计存在瑕疵可能导致失败。决策者应综合评估IPO与借壳的利弊，根据自身情况选择上市路径。</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