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大型集团破产重整的债务安排与资产稳定：紫光集团重整案例分析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2021年7月，紫光集团因债务违约被债权人申请破产重整，2022年7月法院裁定批准重整计划。本案例从重整投资人引入、债务清偿方案设计、核心资产稳定及后续运营等维度进行分析，旨在为面临类似困境的大型企业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前期动因：紫光集团以“芯-云-网-边”为战略，通过高杠杆融资进行大规模并购，导致债务规模快速攀升。2020年末，集团爆发债务危机，多只债券违约，2021年7月被债权人申请破产重整。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：北京市第一中级人民法院于2021年7月裁定受理重整申请，并指定管理人。2021年10月，管理人公开招募战略投资人，最终由智路资本和建广资产组成的联合体（“智路建广联合体”）中标。2022年1月，法院裁定批准重整计划。重整计划核心包括：对普通债权进行分级清偿，100万元以下全额清偿，超过部分以现金+抵债股票方式清偿；集团原股东权益清零，集团控股权转移至重整投资人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与后续：2022年7月，重整计划执行完毕，新紫光集团正式运营。智路建广联合体向紫光集团注入资金，用于清偿债务和补充运营资金，并承诺保持主要核心企业的经营稳定。原集团旗下紫光展锐、紫光国微等核心半导体企业继续独立运营，管理团队保持稳定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重整战略考量：紫光集团面临债务危机，若进入破产清算，核心资产可能被拆分处置，导致价值大幅缩水并引发产业链连锁反应。通过重整保留核心资产完整性，维护其半导体和云网业务的市场地位。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投资人筛选标准：管理人选取战略投资人时，重点考察其产业背景、资金实力以及产业整合能力。智路建广联合体在半导体领域有较深产业积累，且具备大型重整项目经验，承诺长期持有核心资产并注入管理资源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：采用“现金+留债+股票”的清偿组合。现金部分直接清偿小额债权人；留债部分提供长期分期支付；股票部分将债权人转为新集团股东，降低短期偿付压力。同时，原股东权益清零，实现控制权转移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整合与价值释放：重整后，新紫光集团聚焦半导体、云网等核心业务，剥离非核心资产。通过统一管理架构和财务平台，提升运营效率。同时，投资人承诺保持各子公司相对独立的经营决策与激励机制，避免过度整合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债务清偿方案设计：采用分级清偿和组合支付，可兼顾不同债权人的需求。对于小额债权人优先清偿有助于稳定社会关系；大额债权人通过留债和转股参与后续资产价值回升，减少零和博弈。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重整投资人选择：应优先选择具有产业背景和长期承诺的投资人，而非单纯财务投资者。产业投资人能提供行业资源、管理经验和稳定预期，降低重整后的经营风险。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资产稳定措施：重整期间通过“保持运营独立、管理层稳定、关键客户沟通”等方式，防止核心资产流失。紫光集团在重整过程中，各核心子公司业务基本未受影响，合作方信任度较高。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司法重整与庭外重整比较：司法重整具有强制性和程序保障，适用于债务复杂、股东利益冲突严重的场景。通过法院裁定的重整计划对所有债权人具有约束力，效率较高。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紫光集团破产重整案例表明，大型企业遭遇债务危机时，通过司法重整引入产业投资人，可实现债务化解与资产稳定的双重目标。重整成功的关键在于：第一，制定合理的债务清偿方案，平衡各方利益；第二，选择具备产业整合能力和长期承诺的战略投资人；第三，保持核心资产的运营独立性和管理连续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有潜在债务风险的企业决策者，应提前梳理资产结构和债务期限，重视现金流管理，并在危机初期积极寻求司法保护或庭外重组。重整并非失败终点，而是通过法律程序实现企业重生的路径之一。在方案设计中，需充分评估不同债权人的诉求，避免因清偿比例过低引发诉讼或否决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此外，重整后企业应聚焦核心主业，逐步降杠杆，避免重蹈激进扩张的覆辙。紫光集团重整后的发展方向仍需时间检验，但其在危机处理、投资人遴选和方案执行等方面的做法，具有参考价值。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