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杉杉股份破产重整：债权人全票通过与安徽国资入主的启示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2023-2024年间，杉杉股份因债务危机进入破产重整程序。通过重整计划获得五大债权人全票通过，并引入安徽国资作为产业投资人，涉及金额约71亿元。本文从交易过程、交易逻辑、可复用经验及结论四个维度进行分析，旨在为有并购需求的企业决策者提供参考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一、交易过程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前期动因方面，杉杉股份在新能源材料领域快速扩张，但受行业周期及自身债务结构影响，出现流动性危机。2023年，公司正式向法院申请破产重整。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推进阶段，法院受理后指定管理人，完成债权申报与审查。重整计划草案经与主要债权人协商，核心内容包括普通债权人部分清偿、债转股安排，以及引入战略投资人。2024年初，重整计划在债权人会议上获得五大债权人全票通过，随后法院裁定批准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割与后续整合方面，安徽国资旗下主体作为产业投资人出资约71亿元，取得杉杉股份控股权。同时，原控股股东股权被调整，公司治理结构完成变更。公开资料显示，安徽国资计划将部分新能源资产注入，以支持杉杉股份主业发展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从并购战略考量看，安徽国资选择杉杉股份，主要看中其锂电材料领域的技术积累与客户基础。通过重整方式入主，成本相对可控，且能快速获得上市平台。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标的筛选逻辑上，杉杉股份虽陷入债务危机，但核心业务仍具竞争力，且资产负债结构经过重整可大幅优化，具备重生潜力。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交易结构设计方面，采用“债转股+现金投资”组合。债权人通过债转股获得部分偿付，降低企业负债率；安徽国资以现金收购转增股份，实现控制权取得。此举平衡了债权人、原股东与投资人的利益。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整合与价值释放上，安徽国资明确承诺注入资产并保持管理层稳定，旨在提升上市公司盈利能力。从交易安排看，重整后杉杉股份的负债水平显著下降，为后续经营改善奠定了基础。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三、可复用经验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第一，破产重整方案设计需兼顾多方利益。</w:t>
      </w:r>
      <w:r>
        <w:rPr>
          <w:rFonts w:ascii="Times New Roman" w:hAnsi="Times New Roman" w:eastAsia="仿宋" w:cs="Times New Roman"/>
          <w:b w:val="0"/>
          <w:sz w:val="28"/>
        </w:rPr>
        <w:t>本案例中，债权人全票通过重整计划，关键在于方案提供了比清算更高的清偿率，同时通过债转股给予债权人未来升值空间。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第二，引入战略投资人时，应优先选择与主业协同、资源互补的国资背景主体。</w:t>
      </w:r>
      <w:r>
        <w:rPr>
          <w:rFonts w:ascii="Times New Roman" w:hAnsi="Times New Roman" w:eastAsia="仿宋" w:cs="Times New Roman"/>
          <w:b w:val="0"/>
          <w:sz w:val="28"/>
        </w:rPr>
        <w:t>安徽国资的进入不仅提供资金，还带来产业整合能力，增强了市场信心。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第三，重整程序中的沟通与信息披露至关重要。</w:t>
      </w:r>
      <w:r>
        <w:rPr>
          <w:rFonts w:ascii="Times New Roman" w:hAnsi="Times New Roman" w:eastAsia="仿宋" w:cs="Times New Roman"/>
          <w:b w:val="0"/>
          <w:sz w:val="28"/>
        </w:rPr>
        <w:t>主动与债权人、监管机构保持透明沟通，有助于提高方案通过率，缩短重整周期。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第四，对于有核心资产但短期债务过重的企业，破产重整可成为有效出路，而非必然走向清算。决策者需及时申请重整，避免资产价值进一步流失。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四、结论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杉杉股份破产重整案例表明，通过合理的重整方案设计与战略投资人引入，企业可以实现债务化解与控制权平稳过渡。对于面临类似困境的企业决策者，应审慎评估自身核心价值，尽早启动重整程序，并积极寻找产业协同的投资方。同时，重整过程中需注重债权人关系管理，确保方案获得多数支持。此外，国资入主虽可带来资源，但也需关注治理融合与文化差异，以保障后续整合效果。整体而言，破产重整是保护实体资产、实现多方共赢的重要工具，值得面临债务压力的上市公司重点考虑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