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eastAsia="黑体" w:cs="Times New Roman"/>
          <w:b w:val="0"/>
          <w:sz w:val="30"/>
        </w:rPr>
        <w:t>千亿金矿并购：紫金矿业收购加拿大黄金公司的战略与风险</w:t>
      </w:r>
    </w:p>
    <w:p>
      <w:pPr>
        <w:spacing w:line="240" w:lineRule="auto"/>
        <w:ind w:firstLine="560"/>
        <w:jc w:val="both"/>
      </w:pPr>
      <w:r>
        <w:rPr>
          <w:rFonts w:ascii="Times New Roman" w:hAnsi="Times New Roman" w:eastAsia="仿宋" w:cs="Times New Roman"/>
          <w:b w:val="0"/>
          <w:sz w:val="28"/>
        </w:rPr>
        <w:t>2022年，紫金矿业集团股份有限公司（以下简称“紫金矿业”）宣布拟以约280亿元人民币收购加拿大黄金公司（以下简称“标的公司”），引发市场广泛关注。该交易是近年来中资企业最大规模的海外金矿并购之一，涉及资源获取、跨境审查、融资安排及后续整合等多重议题。本报告从交易过程、交易逻辑、可复用经验三个维度展开分析，为有并购需求的企业决策者提供参考。</w:t>
      </w:r>
    </w:p>
    <w:p>
      <w:pPr>
        <w:spacing w:before="160" w:after="80"/>
        <w:ind w:firstLine="200"/>
      </w:pPr>
      <w:r>
        <w:rPr>
          <w:rFonts w:ascii="Times New Roman" w:hAnsi="Times New Roman" w:eastAsia="仿宋" w:cs="Times New Roman"/>
          <w:b/>
          <w:sz w:val="28"/>
        </w:rPr>
        <w:t>一、交易过程</w:t>
      </w:r>
    </w:p>
    <w:p>
      <w:pPr>
        <w:spacing w:line="240" w:lineRule="auto"/>
        <w:ind w:firstLine="560"/>
        <w:jc w:val="both"/>
      </w:pPr>
      <w:r>
        <w:rPr>
          <w:rFonts w:ascii="Times New Roman" w:hAnsi="Times New Roman" w:eastAsia="仿宋" w:cs="Times New Roman"/>
          <w:b w:val="0"/>
          <w:sz w:val="28"/>
        </w:rPr>
        <w:t>紫金矿业作为国内最大的黄金生产商之一，长期通过海外并购扩大资源储备。标的公司是一家在加拿大上市的黄金矿业公司，拥有多个位于美洲的金矿项目，总资源量可观。公开资料显示，紫金矿业此前已在全球12个国家布局了12座金矿，此次收购意在进一步强化其黄金资产组合。</w:t>
      </w:r>
    </w:p>
    <w:p>
      <w:pPr>
        <w:spacing w:line="240" w:lineRule="auto"/>
        <w:ind w:firstLine="560"/>
        <w:jc w:val="both"/>
      </w:pPr>
      <w:r>
        <w:rPr>
          <w:rFonts w:ascii="Times New Roman" w:hAnsi="Times New Roman" w:eastAsia="仿宋" w:cs="Times New Roman"/>
          <w:b w:val="0"/>
          <w:sz w:val="28"/>
        </w:rPr>
        <w:t>交易推进阶段，紫金矿业采取了全现金收购要约的方式，每股报价较标的公司此前股价有显著溢价。根据公告，交易资金部分来自自有资金，部分通过银团贷款融资。在监管层面，交易需获得加拿大政府根据《加拿大投资法》的批准，同时需要中国相关部门的核准。紫金矿业在推进过程中主动与加拿大监管机构沟通，并承诺保留标的公司当地管理层和员工，以降低审查阻力。</w:t>
      </w:r>
    </w:p>
    <w:p>
      <w:pPr>
        <w:spacing w:line="240" w:lineRule="auto"/>
        <w:ind w:firstLine="560"/>
        <w:jc w:val="both"/>
      </w:pPr>
      <w:r>
        <w:rPr>
          <w:rFonts w:ascii="Times New Roman" w:hAnsi="Times New Roman" w:eastAsia="仿宋" w:cs="Times New Roman"/>
          <w:b w:val="0"/>
          <w:sz w:val="28"/>
        </w:rPr>
        <w:t>经过多轮磋商，交易最终于2023年完成交割。据公告披露，紫金矿业通过子公司完成了对标的公司全部已发行股份的收购，标的公司从多伦多证券交易所退市。后续整合方面，紫金矿业派出技术和管理团队，对矿山运营进行优化，同时利用自身供应链和成本控制优势，提升项目盈利能力。</w:t>
      </w:r>
    </w:p>
    <w:p>
      <w:pPr>
        <w:spacing w:before="160" w:after="80"/>
        <w:ind w:firstLine="200"/>
      </w:pPr>
      <w:r>
        <w:rPr>
          <w:rFonts w:ascii="Times New Roman" w:hAnsi="Times New Roman" w:eastAsia="仿宋" w:cs="Times New Roman"/>
          <w:b/>
          <w:sz w:val="28"/>
        </w:rPr>
        <w:t>二、交易逻辑</w:t>
      </w:r>
    </w:p>
    <w:p>
      <w:pPr>
        <w:spacing w:line="240" w:lineRule="auto"/>
        <w:ind w:firstLine="560"/>
        <w:jc w:val="both"/>
      </w:pPr>
      <w:r>
        <w:rPr>
          <w:rFonts w:ascii="Times New Roman" w:hAnsi="Times New Roman" w:eastAsia="仿宋" w:cs="Times New Roman"/>
          <w:b w:val="0"/>
          <w:sz w:val="28"/>
        </w:rPr>
        <w:t>从战略考量看，紫金矿业面临国内优质金矿资源日益枯竭的挑战，海外并购成为获取低成本、高品位资源的必然选择。标的公司拥有一条完整的黄金生产线，且部分矿体尚未开发，未来扩产潜力较大。紫金矿业通过收购可直接获得这些资源，缩短勘探周期，快速提升黄金产量。</w:t>
      </w:r>
    </w:p>
    <w:p>
      <w:pPr>
        <w:spacing w:line="240" w:lineRule="auto"/>
        <w:ind w:firstLine="560"/>
        <w:jc w:val="both"/>
      </w:pPr>
      <w:r>
        <w:rPr>
          <w:rFonts w:ascii="Times New Roman" w:hAnsi="Times New Roman" w:eastAsia="仿宋" w:cs="Times New Roman"/>
          <w:b w:val="0"/>
          <w:sz w:val="28"/>
        </w:rPr>
        <w:t>在标的筛选上，紫金矿业重点关注资源储量、矿山寿命、运营成本以及所在国政治风险。标的公司所在国矿业政策相对稳定，且已获得主要开采许可，降低了项目不确定。交易结构方面，紫金矿业采用全现金方式，避免了股权稀释，同时利用低利率环境锁定长期债务融资，降低了财务成本。</w:t>
      </w:r>
    </w:p>
    <w:p>
      <w:pPr>
        <w:spacing w:line="240" w:lineRule="auto"/>
        <w:ind w:firstLine="560"/>
        <w:jc w:val="both"/>
      </w:pPr>
      <w:r>
        <w:rPr>
          <w:rFonts w:ascii="Times New Roman" w:hAnsi="Times New Roman" w:eastAsia="仿宋" w:cs="Times New Roman"/>
          <w:b w:val="0"/>
          <w:sz w:val="28"/>
        </w:rPr>
        <w:t>并购后整合与价值释放是交易逻辑的核心。紫金矿业计划将自身在矿业运营、成本管控和环保方面的经验注入标的公司，同时保留原管理团队以保持业务连续性。通过优化采矿工艺和物流体系，预期可降低单位生产成本。此外，紫金矿业还考虑将标的公司作为其在美洲的区域总部，进一步辐射周边项目。</w:t>
      </w:r>
    </w:p>
    <w:p>
      <w:pPr>
        <w:spacing w:before="160" w:after="80"/>
        <w:ind w:firstLine="200"/>
      </w:pPr>
      <w:r>
        <w:rPr>
          <w:rFonts w:ascii="Times New Roman" w:hAnsi="Times New Roman" w:eastAsia="仿宋" w:cs="Times New Roman"/>
          <w:b/>
          <w:sz w:val="28"/>
        </w:rPr>
        <w:t>三、可复用经验</w:t>
      </w:r>
    </w:p>
    <w:p>
      <w:pPr>
        <w:spacing w:line="240" w:lineRule="auto"/>
        <w:ind w:firstLine="560"/>
        <w:jc w:val="both"/>
      </w:pPr>
      <w:r>
        <w:rPr>
          <w:rFonts w:ascii="Times New Roman" w:hAnsi="Times New Roman" w:eastAsia="仿宋" w:cs="Times New Roman"/>
          <w:b w:val="0"/>
          <w:sz w:val="28"/>
        </w:rPr>
        <w:t>首先，跨境并购应提前进行东道国监管环境评估。紫金矿业在交易启动前就聘请当地律所和顾问，就《加拿大投资法》中的国家安全审查、净收益测试等要求做充分准备，并主动承诺就业和投资，从而加快了审批进程。这提示企业在发起跨境收购前需投入资源进行法律和监管风险排查。</w:t>
      </w:r>
    </w:p>
    <w:p>
      <w:pPr>
        <w:spacing w:line="240" w:lineRule="auto"/>
        <w:ind w:firstLine="560"/>
        <w:jc w:val="both"/>
      </w:pPr>
      <w:r>
        <w:rPr>
          <w:rFonts w:ascii="Times New Roman" w:hAnsi="Times New Roman" w:eastAsia="仿宋" w:cs="Times New Roman"/>
          <w:b w:val="0"/>
          <w:sz w:val="28"/>
        </w:rPr>
        <w:t>其次，融资结构设计需兼顾资金安全与成本。紫金矿业利用自身信用评级获取低成本银团贷款，并与银行约定浮动利率转固定利率的机制，规避利率上升风险。同时保留部分自有资金作为缓冲，避免过度负债。并购方可根据自身财务情况和市场环境，灵活选择现金、股票或混合支付方式。</w:t>
      </w:r>
    </w:p>
    <w:p>
      <w:pPr>
        <w:spacing w:line="240" w:lineRule="auto"/>
        <w:ind w:firstLine="560"/>
        <w:jc w:val="both"/>
      </w:pPr>
      <w:r>
        <w:rPr>
          <w:rFonts w:ascii="Times New Roman" w:hAnsi="Times New Roman" w:eastAsia="仿宋" w:cs="Times New Roman"/>
          <w:b w:val="0"/>
          <w:sz w:val="28"/>
        </w:rPr>
        <w:t>再次，并购后整合应注重文化融合与本地化运营。紫金矿业保留了标的公司原有管理层和运营团队，并派遣少量核心人员提供技术和管理支持，避免文化冲突。同时建立定期沟通机制，确保战略方向一致。这种“海外并购、本地运营”的模式有利于保留原矿山的运营效率。</w:t>
      </w:r>
    </w:p>
    <w:p>
      <w:pPr>
        <w:spacing w:line="240" w:lineRule="auto"/>
        <w:ind w:firstLine="560"/>
        <w:jc w:val="both"/>
      </w:pPr>
      <w:r>
        <w:rPr>
          <w:rFonts w:ascii="Times New Roman" w:hAnsi="Times New Roman" w:eastAsia="仿宋" w:cs="Times New Roman"/>
          <w:b w:val="0"/>
          <w:sz w:val="28"/>
        </w:rPr>
        <w:t>最后，资源型企业需建立全球化布局思维。紫金矿业在12个国家拥有项目，通过分散地域风险，降低单一国家政策变动的影响。本次收购进一步丰富了其黄金资产组合，实现了跨周期的资源对冲。对于有类似需求的企业，可参考其“区域化+多矿种”的并购策略。</w:t>
      </w:r>
    </w:p>
    <w:p>
      <w:pPr>
        <w:spacing w:before="160" w:after="80"/>
        <w:ind w:firstLine="200"/>
      </w:pPr>
      <w:r>
        <w:rPr>
          <w:rFonts w:ascii="Times New Roman" w:hAnsi="Times New Roman" w:eastAsia="仿宋" w:cs="Times New Roman"/>
          <w:b/>
          <w:sz w:val="28"/>
        </w:rPr>
        <w:t>四、结论</w:t>
      </w:r>
    </w:p>
    <w:p>
      <w:pPr>
        <w:spacing w:line="240" w:lineRule="auto"/>
        <w:ind w:firstLine="560"/>
        <w:jc w:val="both"/>
      </w:pPr>
      <w:r>
        <w:rPr>
          <w:rFonts w:ascii="Times New Roman" w:hAnsi="Times New Roman" w:eastAsia="仿宋" w:cs="Times New Roman"/>
          <w:b w:val="0"/>
          <w:sz w:val="28"/>
        </w:rPr>
        <w:t>从本次收购案例中，企业决策者可总结以下启示：一是跨境并购需将资源获取与战略协同相结合，标的不仅要有现成储量，更要能与现有业务产生协同效应；二是交易推进中要高度重视监管审批，提前制定应对方案，并与东道国政府保持透明沟通；三是融资安排应留有余地，避免因市场波动导致资金链断裂；四是整合阶段要尊重本地团队，通过渐进式变革而非激进重组来实现价值提升。</w:t>
      </w:r>
    </w:p>
    <w:p>
      <w:pPr>
        <w:spacing w:line="240" w:lineRule="auto"/>
        <w:ind w:firstLine="560"/>
        <w:jc w:val="both"/>
      </w:pPr>
      <w:r>
        <w:rPr>
          <w:rFonts w:ascii="Times New Roman" w:hAnsi="Times New Roman" w:eastAsia="仿宋" w:cs="Times New Roman"/>
          <w:b w:val="0"/>
          <w:sz w:val="28"/>
        </w:rPr>
        <w:t>教训方面，企业应警惕海外并购中的“赢家诅咒”风险，即高溢价收购后若资源价格下跌或成本超支，可能拖累整体财务表现。此外，地缘政治变化可能影响后续运营，企业需建立应急预案。总体而言，紫金矿业的这次收购为有意进行大型跨境资源并购的企业提供了一个可借鉴的范本，但具体操作仍需结合自身能力与市场环境审慎决策。</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560"/>
      <w:jc w:val="both"/>
    </w:pPr>
    <w:rPr>
      <w:rFonts w:ascii="Times New Roman" w:hAnsi="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